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22CC5" w14:textId="77777777" w:rsidR="00DF3C35" w:rsidRPr="00791ECC" w:rsidRDefault="00DF3C35" w:rsidP="00DF3C35">
      <w:pPr>
        <w:ind w:left="2520"/>
        <w:rPr>
          <w:rFonts w:ascii="Arial" w:hAnsi="Arial" w:cs="Arial"/>
        </w:rPr>
      </w:pPr>
      <w:bookmarkStart w:id="0" w:name="_GoBack"/>
      <w:bookmarkEnd w:id="0"/>
    </w:p>
    <w:p w14:paraId="61F38D73" w14:textId="77777777" w:rsidR="00DF3C35" w:rsidRPr="00791ECC" w:rsidRDefault="00DF3C35" w:rsidP="00DF3C35">
      <w:pPr>
        <w:numPr>
          <w:ilvl w:val="0"/>
          <w:numId w:val="2"/>
        </w:numPr>
        <w:tabs>
          <w:tab w:val="clear" w:pos="1080"/>
          <w:tab w:val="num" w:pos="540"/>
        </w:tabs>
        <w:ind w:left="630" w:hanging="630"/>
        <w:rPr>
          <w:rFonts w:ascii="Arial" w:hAnsi="Arial" w:cs="Arial"/>
          <w:b/>
        </w:rPr>
      </w:pPr>
      <w:r w:rsidRPr="00791ECC">
        <w:rPr>
          <w:rFonts w:ascii="Arial" w:hAnsi="Arial" w:cs="Arial"/>
          <w:b/>
        </w:rPr>
        <w:t>PURPOSE</w:t>
      </w:r>
    </w:p>
    <w:p w14:paraId="57864D57" w14:textId="03630137" w:rsidR="00DF3C35" w:rsidRPr="00791ECC" w:rsidRDefault="00DF3C35" w:rsidP="00A6474A">
      <w:pPr>
        <w:tabs>
          <w:tab w:val="num" w:pos="540"/>
        </w:tabs>
        <w:ind w:left="540"/>
        <w:rPr>
          <w:rFonts w:ascii="Arial" w:hAnsi="Arial" w:cs="Arial"/>
        </w:rPr>
      </w:pPr>
      <w:r w:rsidRPr="00791ECC">
        <w:rPr>
          <w:rFonts w:ascii="Arial" w:hAnsi="Arial" w:cs="Arial"/>
        </w:rPr>
        <w:t xml:space="preserve">To provide </w:t>
      </w:r>
      <w:r>
        <w:rPr>
          <w:rFonts w:ascii="Arial" w:hAnsi="Arial" w:cs="Arial"/>
        </w:rPr>
        <w:t xml:space="preserve">fair and </w:t>
      </w:r>
      <w:r w:rsidRPr="00791ECC">
        <w:rPr>
          <w:rFonts w:ascii="Arial" w:hAnsi="Arial" w:cs="Arial"/>
        </w:rPr>
        <w:t>consistent practice</w:t>
      </w:r>
      <w:r w:rsidR="00A6474A">
        <w:rPr>
          <w:rFonts w:ascii="Arial" w:hAnsi="Arial" w:cs="Arial"/>
        </w:rPr>
        <w:t>s and procedures</w:t>
      </w:r>
      <w:r w:rsidRPr="00791ECC">
        <w:rPr>
          <w:rFonts w:ascii="Arial" w:hAnsi="Arial" w:cs="Arial"/>
        </w:rPr>
        <w:t xml:space="preserve"> </w:t>
      </w:r>
      <w:r w:rsidR="00A6474A">
        <w:rPr>
          <w:rFonts w:ascii="Arial" w:hAnsi="Arial" w:cs="Arial"/>
        </w:rPr>
        <w:t>governing</w:t>
      </w:r>
      <w:r w:rsidR="00B74F6D">
        <w:rPr>
          <w:rFonts w:ascii="Arial" w:hAnsi="Arial" w:cs="Arial"/>
        </w:rPr>
        <w:t xml:space="preserve"> academic actions and </w:t>
      </w:r>
      <w:r w:rsidRPr="00791ECC">
        <w:rPr>
          <w:rFonts w:ascii="Arial" w:hAnsi="Arial" w:cs="Arial"/>
        </w:rPr>
        <w:t xml:space="preserve">resident disputes. </w:t>
      </w:r>
    </w:p>
    <w:p w14:paraId="5651F745" w14:textId="77777777" w:rsidR="00DF3C35" w:rsidRPr="00791ECC" w:rsidRDefault="00DF3C35" w:rsidP="00DF3C35">
      <w:pPr>
        <w:tabs>
          <w:tab w:val="num" w:pos="540"/>
        </w:tabs>
        <w:ind w:left="630" w:hanging="630"/>
        <w:rPr>
          <w:rFonts w:ascii="Arial" w:hAnsi="Arial" w:cs="Arial"/>
          <w:b/>
        </w:rPr>
      </w:pPr>
    </w:p>
    <w:p w14:paraId="2187E4CA" w14:textId="77777777" w:rsidR="00DF3C35" w:rsidRPr="00791ECC" w:rsidRDefault="00DF3C35" w:rsidP="00DF3C35">
      <w:pPr>
        <w:numPr>
          <w:ilvl w:val="0"/>
          <w:numId w:val="2"/>
        </w:numPr>
        <w:tabs>
          <w:tab w:val="clear" w:pos="1080"/>
          <w:tab w:val="num" w:pos="540"/>
        </w:tabs>
        <w:ind w:left="630" w:hanging="630"/>
        <w:rPr>
          <w:rFonts w:ascii="Arial" w:hAnsi="Arial" w:cs="Arial"/>
          <w:b/>
        </w:rPr>
      </w:pPr>
      <w:r w:rsidRPr="00791ECC">
        <w:rPr>
          <w:rFonts w:ascii="Arial" w:hAnsi="Arial" w:cs="Arial"/>
          <w:b/>
        </w:rPr>
        <w:t>DEFINITIONS</w:t>
      </w:r>
    </w:p>
    <w:p w14:paraId="20ADC26B" w14:textId="73E5F820" w:rsidR="00DF3C35" w:rsidRPr="000C2433" w:rsidRDefault="00F5433F" w:rsidP="000C2433">
      <w:pPr>
        <w:numPr>
          <w:ilvl w:val="1"/>
          <w:numId w:val="2"/>
        </w:numPr>
        <w:tabs>
          <w:tab w:val="num" w:pos="540"/>
        </w:tabs>
        <w:spacing w:before="120"/>
        <w:ind w:left="1260" w:hanging="630"/>
        <w:rPr>
          <w:rFonts w:ascii="Arial" w:hAnsi="Arial" w:cs="Arial"/>
          <w:b/>
        </w:rPr>
      </w:pPr>
      <w:r w:rsidRPr="000C2433">
        <w:rPr>
          <w:rFonts w:ascii="Arial" w:hAnsi="Arial" w:cs="Arial"/>
        </w:rPr>
        <w:t xml:space="preserve">The terms </w:t>
      </w:r>
      <w:r w:rsidR="00DF3C35" w:rsidRPr="000C2433">
        <w:rPr>
          <w:rFonts w:ascii="Arial" w:hAnsi="Arial" w:cs="Arial"/>
        </w:rPr>
        <w:t xml:space="preserve">“Resident” </w:t>
      </w:r>
      <w:r w:rsidRPr="000C2433">
        <w:rPr>
          <w:rFonts w:ascii="Arial" w:hAnsi="Arial" w:cs="Arial"/>
        </w:rPr>
        <w:t xml:space="preserve">and “House Staff” </w:t>
      </w:r>
      <w:r w:rsidR="00DF3C35" w:rsidRPr="000C2433">
        <w:rPr>
          <w:rFonts w:ascii="Arial" w:hAnsi="Arial" w:cs="Arial"/>
        </w:rPr>
        <w:t xml:space="preserve">as used herein </w:t>
      </w:r>
      <w:r w:rsidR="005E45A6" w:rsidRPr="000C2433">
        <w:rPr>
          <w:rFonts w:ascii="Arial" w:hAnsi="Arial" w:cs="Arial"/>
        </w:rPr>
        <w:t>to include</w:t>
      </w:r>
      <w:r w:rsidR="00DF3C35" w:rsidRPr="000C2433">
        <w:rPr>
          <w:rFonts w:ascii="Arial" w:hAnsi="Arial" w:cs="Arial"/>
        </w:rPr>
        <w:t xml:space="preserve"> interns, residents, and fellows in ACGME-accredited and non-ACGME-accredited training programs administered by the Office of Graduate Medical Education and overseen by the Graduate Medical Education Committee</w:t>
      </w:r>
      <w:r w:rsidR="00A92201" w:rsidRPr="000C2433">
        <w:rPr>
          <w:rFonts w:ascii="Arial" w:hAnsi="Arial" w:cs="Arial"/>
        </w:rPr>
        <w:t xml:space="preserve"> (GMEC)</w:t>
      </w:r>
      <w:r w:rsidR="00DF3C35" w:rsidRPr="000C2433">
        <w:rPr>
          <w:rFonts w:ascii="Arial" w:hAnsi="Arial" w:cs="Arial"/>
        </w:rPr>
        <w:t xml:space="preserve"> at </w:t>
      </w:r>
    </w:p>
    <w:p w14:paraId="45085405" w14:textId="3F270601" w:rsidR="00DF3C35" w:rsidRPr="00791ECC" w:rsidRDefault="00DF3C35" w:rsidP="00254F2E">
      <w:pPr>
        <w:numPr>
          <w:ilvl w:val="0"/>
          <w:numId w:val="2"/>
        </w:numPr>
        <w:tabs>
          <w:tab w:val="clear" w:pos="1080"/>
          <w:tab w:val="num" w:pos="540"/>
        </w:tabs>
        <w:ind w:left="540" w:hanging="540"/>
        <w:rPr>
          <w:rFonts w:ascii="Arial" w:hAnsi="Arial" w:cs="Arial"/>
          <w:b/>
        </w:rPr>
      </w:pPr>
      <w:r w:rsidRPr="00791ECC">
        <w:rPr>
          <w:rFonts w:ascii="Arial" w:hAnsi="Arial" w:cs="Arial"/>
          <w:b/>
        </w:rPr>
        <w:t>ACADEMIC ACTION</w:t>
      </w:r>
      <w:r w:rsidR="00B74F6D">
        <w:rPr>
          <w:rFonts w:ascii="Arial" w:hAnsi="Arial" w:cs="Arial"/>
          <w:b/>
        </w:rPr>
        <w:t>S</w:t>
      </w:r>
    </w:p>
    <w:p w14:paraId="571E297B" w14:textId="523150F5" w:rsidR="00B74F6D" w:rsidRPr="00F62462" w:rsidRDefault="00797867" w:rsidP="00F62462">
      <w:pPr>
        <w:numPr>
          <w:ilvl w:val="0"/>
          <w:numId w:val="28"/>
        </w:numPr>
        <w:spacing w:before="120"/>
        <w:ind w:left="1080"/>
        <w:rPr>
          <w:rFonts w:ascii="Arial" w:hAnsi="Arial" w:cs="Arial"/>
        </w:rPr>
      </w:pPr>
      <w:r w:rsidRPr="00F62462">
        <w:rPr>
          <w:rFonts w:ascii="Arial" w:hAnsi="Arial" w:cs="Arial"/>
          <w:b/>
        </w:rPr>
        <w:t>Overview</w:t>
      </w:r>
      <w:r w:rsidRPr="00F62462">
        <w:rPr>
          <w:rFonts w:ascii="Arial" w:hAnsi="Arial" w:cs="Arial"/>
        </w:rPr>
        <w:t xml:space="preserve">. </w:t>
      </w:r>
      <w:r w:rsidR="00B74F6D" w:rsidRPr="00F62462">
        <w:rPr>
          <w:rFonts w:ascii="Arial" w:hAnsi="Arial" w:cs="Arial"/>
        </w:rPr>
        <w:t xml:space="preserve">Except for </w:t>
      </w:r>
      <w:r w:rsidR="00732ABA" w:rsidRPr="00F62462">
        <w:rPr>
          <w:rFonts w:ascii="Arial" w:hAnsi="Arial" w:cs="Arial"/>
        </w:rPr>
        <w:t>flagr</w:t>
      </w:r>
      <w:r w:rsidR="00033214" w:rsidRPr="00F62462">
        <w:rPr>
          <w:rFonts w:ascii="Arial" w:hAnsi="Arial" w:cs="Arial"/>
        </w:rPr>
        <w:t xml:space="preserve">ant or </w:t>
      </w:r>
      <w:r w:rsidR="00B74F6D" w:rsidRPr="00F62462">
        <w:rPr>
          <w:rFonts w:ascii="Arial" w:hAnsi="Arial" w:cs="Arial"/>
        </w:rPr>
        <w:t>egregious</w:t>
      </w:r>
      <w:r w:rsidR="00033214" w:rsidRPr="00F62462">
        <w:rPr>
          <w:rFonts w:ascii="Arial" w:hAnsi="Arial" w:cs="Arial"/>
        </w:rPr>
        <w:t xml:space="preserve"> behavior</w:t>
      </w:r>
      <w:r w:rsidR="00931D5C">
        <w:rPr>
          <w:rFonts w:ascii="Arial" w:hAnsi="Arial" w:cs="Arial"/>
        </w:rPr>
        <w:t>s</w:t>
      </w:r>
      <w:r w:rsidR="00033214" w:rsidRPr="00F62462">
        <w:rPr>
          <w:rFonts w:ascii="Arial" w:hAnsi="Arial" w:cs="Arial"/>
        </w:rPr>
        <w:t>,</w:t>
      </w:r>
      <w:r w:rsidR="00B74F6D" w:rsidRPr="00F62462">
        <w:rPr>
          <w:rFonts w:ascii="Arial" w:hAnsi="Arial" w:cs="Arial"/>
        </w:rPr>
        <w:t xml:space="preserve"> or </w:t>
      </w:r>
      <w:r w:rsidR="00033214" w:rsidRPr="00F62462">
        <w:rPr>
          <w:rFonts w:ascii="Arial" w:hAnsi="Arial" w:cs="Arial"/>
        </w:rPr>
        <w:t>actions that endanger</w:t>
      </w:r>
      <w:r w:rsidR="00732ABA" w:rsidRPr="00F62462">
        <w:rPr>
          <w:rFonts w:ascii="Arial" w:hAnsi="Arial" w:cs="Arial"/>
        </w:rPr>
        <w:t xml:space="preserve"> p</w:t>
      </w:r>
      <w:r w:rsidR="00931D5C" w:rsidRPr="00931D5C">
        <w:rPr>
          <w:rFonts w:ascii="Arial" w:hAnsi="Arial" w:cs="Arial"/>
        </w:rPr>
        <w:t>atient safety</w:t>
      </w:r>
      <w:r w:rsidR="00732ABA" w:rsidRPr="00F62462">
        <w:rPr>
          <w:rFonts w:ascii="Arial" w:hAnsi="Arial" w:cs="Arial"/>
        </w:rPr>
        <w:t>,</w:t>
      </w:r>
      <w:r w:rsidR="00B74F6D" w:rsidRPr="00F62462">
        <w:rPr>
          <w:rFonts w:ascii="Arial" w:hAnsi="Arial" w:cs="Arial"/>
        </w:rPr>
        <w:t xml:space="preserve"> a pattern of behavior must be evident to require the imposition</w:t>
      </w:r>
      <w:r w:rsidRPr="00F62462">
        <w:rPr>
          <w:rFonts w:ascii="Arial" w:hAnsi="Arial" w:cs="Arial"/>
        </w:rPr>
        <w:t xml:space="preserve"> of an academic action plan.  A</w:t>
      </w:r>
      <w:r w:rsidR="00033214" w:rsidRPr="00F62462">
        <w:rPr>
          <w:rFonts w:ascii="Arial" w:hAnsi="Arial" w:cs="Arial"/>
        </w:rPr>
        <w:t xml:space="preserve">n </w:t>
      </w:r>
      <w:r w:rsidR="00B74F6D" w:rsidRPr="00F62462">
        <w:rPr>
          <w:rFonts w:ascii="Arial" w:hAnsi="Arial" w:cs="Arial"/>
        </w:rPr>
        <w:t xml:space="preserve">academic action </w:t>
      </w:r>
      <w:r w:rsidRPr="00F62462">
        <w:rPr>
          <w:rFonts w:ascii="Arial" w:hAnsi="Arial" w:cs="Arial"/>
        </w:rPr>
        <w:t>letter</w:t>
      </w:r>
      <w:r w:rsidR="00B74F6D" w:rsidRPr="00F62462">
        <w:rPr>
          <w:rFonts w:ascii="Arial" w:hAnsi="Arial" w:cs="Arial"/>
        </w:rPr>
        <w:t xml:space="preserve"> </w:t>
      </w:r>
      <w:r w:rsidRPr="00F62462">
        <w:rPr>
          <w:rFonts w:ascii="Arial" w:hAnsi="Arial" w:cs="Arial"/>
        </w:rPr>
        <w:t>must be provided</w:t>
      </w:r>
      <w:r w:rsidR="00B74F6D" w:rsidRPr="00F62462">
        <w:rPr>
          <w:rFonts w:ascii="Arial" w:hAnsi="Arial" w:cs="Arial"/>
        </w:rPr>
        <w:t xml:space="preserve"> to the resident</w:t>
      </w:r>
      <w:r w:rsidRPr="00F62462">
        <w:rPr>
          <w:rFonts w:ascii="Arial" w:hAnsi="Arial" w:cs="Arial"/>
        </w:rPr>
        <w:t xml:space="preserve">, with </w:t>
      </w:r>
      <w:r w:rsidR="00B74F6D" w:rsidRPr="00F62462">
        <w:rPr>
          <w:rFonts w:ascii="Arial" w:hAnsi="Arial" w:cs="Arial"/>
        </w:rPr>
        <w:t>a beginning date and</w:t>
      </w:r>
      <w:r w:rsidR="00931D5C" w:rsidRPr="00931D5C">
        <w:rPr>
          <w:rFonts w:ascii="Arial" w:hAnsi="Arial" w:cs="Arial"/>
        </w:rPr>
        <w:t xml:space="preserve"> a deadline for completion, </w:t>
      </w:r>
      <w:r w:rsidR="00033214" w:rsidRPr="00F62462">
        <w:rPr>
          <w:rFonts w:ascii="Arial" w:hAnsi="Arial" w:cs="Arial"/>
        </w:rPr>
        <w:t xml:space="preserve">written in </w:t>
      </w:r>
      <w:r w:rsidR="00B74F6D" w:rsidRPr="00F62462">
        <w:rPr>
          <w:rFonts w:ascii="Arial" w:hAnsi="Arial" w:cs="Arial"/>
        </w:rPr>
        <w:t>concrete and behavioral</w:t>
      </w:r>
      <w:r w:rsidR="00033214" w:rsidRPr="00F62462">
        <w:rPr>
          <w:rFonts w:ascii="Arial" w:hAnsi="Arial" w:cs="Arial"/>
        </w:rPr>
        <w:t xml:space="preserve"> language</w:t>
      </w:r>
      <w:r w:rsidR="00931D5C" w:rsidRPr="00931D5C">
        <w:rPr>
          <w:rFonts w:ascii="Arial" w:hAnsi="Arial" w:cs="Arial"/>
        </w:rPr>
        <w:t>, and contain</w:t>
      </w:r>
      <w:r w:rsidR="005E45A6">
        <w:rPr>
          <w:rFonts w:ascii="Arial" w:hAnsi="Arial" w:cs="Arial"/>
        </w:rPr>
        <w:t>ing</w:t>
      </w:r>
      <w:r w:rsidR="00931D5C" w:rsidRPr="00931D5C">
        <w:rPr>
          <w:rFonts w:ascii="Arial" w:hAnsi="Arial" w:cs="Arial"/>
        </w:rPr>
        <w:t xml:space="preserve"> o</w:t>
      </w:r>
      <w:r w:rsidR="00B74F6D" w:rsidRPr="00F62462">
        <w:rPr>
          <w:rFonts w:ascii="Arial" w:hAnsi="Arial" w:cs="Arial"/>
        </w:rPr>
        <w:t xml:space="preserve">bjective </w:t>
      </w:r>
      <w:r w:rsidR="005E45A6">
        <w:rPr>
          <w:rFonts w:ascii="Arial" w:hAnsi="Arial" w:cs="Arial"/>
        </w:rPr>
        <w:t>criteria</w:t>
      </w:r>
      <w:r w:rsidR="00B74F6D" w:rsidRPr="00F62462">
        <w:rPr>
          <w:rFonts w:ascii="Arial" w:hAnsi="Arial" w:cs="Arial"/>
        </w:rPr>
        <w:t xml:space="preserve"> for </w:t>
      </w:r>
      <w:r w:rsidR="005E45A6">
        <w:rPr>
          <w:rFonts w:ascii="Arial" w:hAnsi="Arial" w:cs="Arial"/>
        </w:rPr>
        <w:t>determining</w:t>
      </w:r>
      <w:r w:rsidR="00033214" w:rsidRPr="00F62462">
        <w:rPr>
          <w:rFonts w:ascii="Arial" w:hAnsi="Arial" w:cs="Arial"/>
        </w:rPr>
        <w:t xml:space="preserve"> success</w:t>
      </w:r>
      <w:r w:rsidR="00B74F6D" w:rsidRPr="00F62462">
        <w:rPr>
          <w:rFonts w:ascii="Arial" w:hAnsi="Arial" w:cs="Arial"/>
        </w:rPr>
        <w:t>.  The required action</w:t>
      </w:r>
      <w:r w:rsidRPr="00F62462">
        <w:rPr>
          <w:rFonts w:ascii="Arial" w:hAnsi="Arial" w:cs="Arial"/>
        </w:rPr>
        <w:t>(s)</w:t>
      </w:r>
      <w:r w:rsidR="00B74F6D" w:rsidRPr="00F62462">
        <w:rPr>
          <w:rFonts w:ascii="Arial" w:hAnsi="Arial" w:cs="Arial"/>
        </w:rPr>
        <w:t xml:space="preserve"> must be achievable by the resident at his/her current stage within the residenc</w:t>
      </w:r>
      <w:r w:rsidRPr="00F62462">
        <w:rPr>
          <w:rFonts w:ascii="Arial" w:hAnsi="Arial" w:cs="Arial"/>
        </w:rPr>
        <w:t>y program in the time available</w:t>
      </w:r>
      <w:r w:rsidR="00B74F6D" w:rsidRPr="00F62462">
        <w:rPr>
          <w:rFonts w:ascii="Arial" w:hAnsi="Arial" w:cs="Arial"/>
        </w:rPr>
        <w:t xml:space="preserve">. The academic action process is not designed to be adversarial, but is meant to </w:t>
      </w:r>
      <w:r w:rsidR="005E45A6">
        <w:rPr>
          <w:rFonts w:ascii="Arial" w:hAnsi="Arial" w:cs="Arial"/>
        </w:rPr>
        <w:t>provide</w:t>
      </w:r>
      <w:r w:rsidR="005E45A6" w:rsidRPr="005E45A6">
        <w:rPr>
          <w:rFonts w:ascii="Arial" w:hAnsi="Arial" w:cs="Arial"/>
        </w:rPr>
        <w:t xml:space="preserve"> a means for</w:t>
      </w:r>
      <w:r w:rsidR="00B74F6D" w:rsidRPr="00F62462">
        <w:rPr>
          <w:rFonts w:ascii="Arial" w:hAnsi="Arial" w:cs="Arial"/>
        </w:rPr>
        <w:t xml:space="preserve"> remediating inadequate resident performance, and ideally should represent a </w:t>
      </w:r>
      <w:r w:rsidR="005E45A6">
        <w:rPr>
          <w:rFonts w:ascii="Arial" w:hAnsi="Arial" w:cs="Arial"/>
        </w:rPr>
        <w:t xml:space="preserve">constructive </w:t>
      </w:r>
      <w:r w:rsidR="00B74F6D" w:rsidRPr="00F62462">
        <w:rPr>
          <w:rFonts w:ascii="Arial" w:hAnsi="Arial" w:cs="Arial"/>
        </w:rPr>
        <w:t xml:space="preserve">problem-solving collaboration between </w:t>
      </w:r>
      <w:r w:rsidR="00033214" w:rsidRPr="00F62462">
        <w:rPr>
          <w:rFonts w:ascii="Arial" w:hAnsi="Arial" w:cs="Arial"/>
        </w:rPr>
        <w:t>the</w:t>
      </w:r>
      <w:r w:rsidR="00B74F6D" w:rsidRPr="00F62462">
        <w:rPr>
          <w:rFonts w:ascii="Arial" w:hAnsi="Arial" w:cs="Arial"/>
        </w:rPr>
        <w:t xml:space="preserve"> resident and his/her </w:t>
      </w:r>
      <w:r w:rsidR="005E45A6">
        <w:rPr>
          <w:rFonts w:ascii="Arial" w:hAnsi="Arial" w:cs="Arial"/>
        </w:rPr>
        <w:t>program director and faculty.</w:t>
      </w:r>
    </w:p>
    <w:p w14:paraId="6B8C12CA" w14:textId="61921474" w:rsidR="00DF3C35" w:rsidRPr="00791ECC" w:rsidRDefault="00DF3C35" w:rsidP="00F62462">
      <w:pPr>
        <w:numPr>
          <w:ilvl w:val="0"/>
          <w:numId w:val="28"/>
        </w:numPr>
        <w:spacing w:before="120"/>
        <w:ind w:left="1080"/>
        <w:rPr>
          <w:rFonts w:ascii="Arial" w:hAnsi="Arial" w:cs="Arial"/>
        </w:rPr>
      </w:pPr>
      <w:r w:rsidRPr="00F62462">
        <w:rPr>
          <w:rFonts w:ascii="Arial" w:hAnsi="Arial" w:cs="Arial"/>
          <w:b/>
        </w:rPr>
        <w:t>Academic Nature of Program Actions</w:t>
      </w:r>
      <w:r w:rsidRPr="00791ECC">
        <w:rPr>
          <w:rFonts w:ascii="Arial" w:hAnsi="Arial" w:cs="Arial"/>
        </w:rPr>
        <w:t xml:space="preserve">.  The ACGME has established </w:t>
      </w:r>
      <w:r w:rsidR="0047665D">
        <w:rPr>
          <w:rFonts w:ascii="Arial" w:hAnsi="Arial" w:cs="Arial"/>
        </w:rPr>
        <w:t>C</w:t>
      </w:r>
      <w:r w:rsidRPr="00791ECC">
        <w:rPr>
          <w:rFonts w:ascii="Arial" w:hAnsi="Arial" w:cs="Arial"/>
        </w:rPr>
        <w:t xml:space="preserve">ore </w:t>
      </w:r>
      <w:r w:rsidR="0047665D">
        <w:rPr>
          <w:rFonts w:ascii="Arial" w:hAnsi="Arial" w:cs="Arial"/>
        </w:rPr>
        <w:t>C</w:t>
      </w:r>
      <w:r w:rsidRPr="00791ECC">
        <w:rPr>
          <w:rFonts w:ascii="Arial" w:hAnsi="Arial" w:cs="Arial"/>
        </w:rPr>
        <w:t>ompetencies in the areas of patient care, medical knowledge, practice-based learning and improvement, interpersonal and communication skills, professionalism, and systems-based practice.  In turn, the ACGME requires that each progra</w:t>
      </w:r>
      <w:r w:rsidR="00C82318">
        <w:rPr>
          <w:rFonts w:ascii="Arial" w:hAnsi="Arial" w:cs="Arial"/>
        </w:rPr>
        <w:t xml:space="preserve">m assess resident performance </w:t>
      </w:r>
      <w:r>
        <w:rPr>
          <w:rFonts w:ascii="Arial" w:hAnsi="Arial" w:cs="Arial"/>
        </w:rPr>
        <w:t>based</w:t>
      </w:r>
      <w:r w:rsidRPr="00791ECC">
        <w:rPr>
          <w:rFonts w:ascii="Arial" w:hAnsi="Arial" w:cs="Arial"/>
        </w:rPr>
        <w:t xml:space="preserve"> </w:t>
      </w:r>
      <w:r>
        <w:rPr>
          <w:rFonts w:ascii="Arial" w:hAnsi="Arial" w:cs="Arial"/>
        </w:rPr>
        <w:t>on</w:t>
      </w:r>
      <w:r w:rsidRPr="00791ECC">
        <w:rPr>
          <w:rFonts w:ascii="Arial" w:hAnsi="Arial" w:cs="Arial"/>
        </w:rPr>
        <w:t xml:space="preserve"> </w:t>
      </w:r>
      <w:r>
        <w:rPr>
          <w:rFonts w:ascii="Arial" w:hAnsi="Arial" w:cs="Arial"/>
        </w:rPr>
        <w:t>these</w:t>
      </w:r>
      <w:r w:rsidRPr="00791ECC">
        <w:rPr>
          <w:rFonts w:ascii="Arial" w:hAnsi="Arial" w:cs="Arial"/>
        </w:rPr>
        <w:t xml:space="preserve"> six </w:t>
      </w:r>
      <w:r w:rsidR="0047665D">
        <w:rPr>
          <w:rFonts w:ascii="Arial" w:hAnsi="Arial" w:cs="Arial"/>
        </w:rPr>
        <w:t>C</w:t>
      </w:r>
      <w:r w:rsidRPr="00791ECC">
        <w:rPr>
          <w:rFonts w:ascii="Arial" w:hAnsi="Arial" w:cs="Arial"/>
        </w:rPr>
        <w:t xml:space="preserve">ore </w:t>
      </w:r>
      <w:r w:rsidR="0047665D">
        <w:rPr>
          <w:rFonts w:ascii="Arial" w:hAnsi="Arial" w:cs="Arial"/>
        </w:rPr>
        <w:t>C</w:t>
      </w:r>
      <w:r w:rsidRPr="00791ECC">
        <w:rPr>
          <w:rFonts w:ascii="Arial" w:hAnsi="Arial" w:cs="Arial"/>
        </w:rPr>
        <w:t>ompetencies</w:t>
      </w:r>
      <w:r w:rsidR="008060EA">
        <w:rPr>
          <w:rFonts w:ascii="Arial" w:hAnsi="Arial" w:cs="Arial"/>
        </w:rPr>
        <w:t xml:space="preserve"> and the Milestones </w:t>
      </w:r>
      <w:r w:rsidR="0047665D">
        <w:rPr>
          <w:rFonts w:ascii="Arial" w:hAnsi="Arial" w:cs="Arial"/>
        </w:rPr>
        <w:t xml:space="preserve">developed by each ACGME specialty </w:t>
      </w:r>
      <w:r w:rsidR="0047665D" w:rsidRPr="0047665D">
        <w:rPr>
          <w:rFonts w:ascii="Arial" w:hAnsi="Arial" w:cs="Arial"/>
        </w:rPr>
        <w:t xml:space="preserve">as a </w:t>
      </w:r>
      <w:r w:rsidR="0047665D" w:rsidRPr="00F62462">
        <w:rPr>
          <w:rFonts w:ascii="Arial" w:eastAsia="Times New Roman" w:hAnsi="Arial" w:cs="Arial"/>
        </w:rPr>
        <w:t>framework for determining resident and fe</w:t>
      </w:r>
      <w:r w:rsidR="0047665D" w:rsidRPr="0047665D">
        <w:rPr>
          <w:rFonts w:ascii="Arial" w:eastAsia="Times New Roman" w:hAnsi="Arial" w:cs="Arial"/>
        </w:rPr>
        <w:t xml:space="preserve">llow performance within the </w:t>
      </w:r>
      <w:r w:rsidR="0047665D" w:rsidRPr="00F62462">
        <w:rPr>
          <w:rFonts w:ascii="Arial" w:eastAsia="Times New Roman" w:hAnsi="Arial" w:cs="Arial"/>
        </w:rPr>
        <w:t>Core Competencies</w:t>
      </w:r>
      <w:r w:rsidR="00B57D10">
        <w:rPr>
          <w:rStyle w:val="FootnoteReference"/>
          <w:rFonts w:ascii="Arial" w:hAnsi="Arial" w:cs="Arial"/>
        </w:rPr>
        <w:footnoteReference w:id="1"/>
      </w:r>
      <w:r w:rsidRPr="00791ECC">
        <w:rPr>
          <w:rFonts w:ascii="Arial" w:hAnsi="Arial" w:cs="Arial"/>
        </w:rPr>
        <w:t xml:space="preserve">.  </w:t>
      </w:r>
      <w:r>
        <w:rPr>
          <w:rFonts w:ascii="Arial" w:hAnsi="Arial" w:cs="Arial"/>
        </w:rPr>
        <w:t>Since</w:t>
      </w:r>
      <w:r w:rsidRPr="00791ECC">
        <w:rPr>
          <w:rFonts w:ascii="Arial" w:hAnsi="Arial" w:cs="Arial"/>
        </w:rPr>
        <w:t xml:space="preserve"> virtually all resident conduct and performance is necessarily </w:t>
      </w:r>
      <w:r>
        <w:rPr>
          <w:rFonts w:ascii="Arial" w:hAnsi="Arial" w:cs="Arial"/>
        </w:rPr>
        <w:t>linked</w:t>
      </w:r>
      <w:r w:rsidRPr="00791ECC">
        <w:rPr>
          <w:rFonts w:ascii="Arial" w:hAnsi="Arial" w:cs="Arial"/>
        </w:rPr>
        <w:t xml:space="preserve"> to the six core competencies, virtually all resident conduct and performance is academic in nature.  </w:t>
      </w:r>
    </w:p>
    <w:p w14:paraId="77B9BA74" w14:textId="77777777" w:rsidR="00DF3C35" w:rsidRPr="00791ECC" w:rsidRDefault="00DF3C35" w:rsidP="00DF3C35">
      <w:pPr>
        <w:tabs>
          <w:tab w:val="num" w:pos="540"/>
        </w:tabs>
        <w:ind w:left="630" w:hanging="630"/>
        <w:rPr>
          <w:rFonts w:ascii="Arial" w:hAnsi="Arial" w:cs="Arial"/>
        </w:rPr>
      </w:pPr>
    </w:p>
    <w:p w14:paraId="2B32E3B6" w14:textId="3A22904E" w:rsidR="00DF3C35" w:rsidRPr="00791ECC" w:rsidRDefault="00DF3C35" w:rsidP="00F62462">
      <w:pPr>
        <w:numPr>
          <w:ilvl w:val="0"/>
          <w:numId w:val="28"/>
        </w:numPr>
        <w:tabs>
          <w:tab w:val="left" w:pos="1080"/>
          <w:tab w:val="left" w:pos="1530"/>
        </w:tabs>
        <w:ind w:left="1080"/>
        <w:rPr>
          <w:rFonts w:ascii="Arial" w:hAnsi="Arial" w:cs="Arial"/>
          <w:b/>
        </w:rPr>
      </w:pPr>
      <w:r w:rsidRPr="00F62462">
        <w:rPr>
          <w:rFonts w:ascii="Arial" w:hAnsi="Arial" w:cs="Arial"/>
          <w:b/>
        </w:rPr>
        <w:t>Factors for Determin</w:t>
      </w:r>
      <w:r w:rsidR="00C82318">
        <w:rPr>
          <w:rFonts w:ascii="Arial" w:hAnsi="Arial" w:cs="Arial"/>
          <w:b/>
        </w:rPr>
        <w:t>ing</w:t>
      </w:r>
      <w:r w:rsidRPr="00F62462">
        <w:rPr>
          <w:rFonts w:ascii="Arial" w:hAnsi="Arial" w:cs="Arial"/>
          <w:b/>
        </w:rPr>
        <w:t xml:space="preserve"> Academic Actions</w:t>
      </w:r>
      <w:r w:rsidRPr="00791ECC">
        <w:rPr>
          <w:rFonts w:ascii="Arial" w:hAnsi="Arial" w:cs="Arial"/>
        </w:rPr>
        <w:t xml:space="preserve">.  When a program determines that a resident’s performance or conduct is unsatisfactory, the program may </w:t>
      </w:r>
      <w:r w:rsidR="00F5433F">
        <w:rPr>
          <w:rFonts w:ascii="Arial" w:hAnsi="Arial" w:cs="Arial"/>
        </w:rPr>
        <w:t>impose</w:t>
      </w:r>
      <w:r w:rsidR="00B2726A">
        <w:rPr>
          <w:rFonts w:ascii="Arial" w:hAnsi="Arial" w:cs="Arial"/>
        </w:rPr>
        <w:t xml:space="preserve"> </w:t>
      </w:r>
      <w:r w:rsidRPr="00791ECC">
        <w:rPr>
          <w:rFonts w:ascii="Arial" w:hAnsi="Arial" w:cs="Arial"/>
        </w:rPr>
        <w:t>one or more academic actions.</w:t>
      </w:r>
      <w:r w:rsidRPr="00791ECC">
        <w:rPr>
          <w:rFonts w:ascii="Arial" w:hAnsi="Arial" w:cs="Arial"/>
          <w:b/>
        </w:rPr>
        <w:t xml:space="preserve">  </w:t>
      </w:r>
    </w:p>
    <w:p w14:paraId="5A56826D" w14:textId="77777777" w:rsidR="00DF3C35" w:rsidRPr="00791ECC" w:rsidRDefault="00DF3C35" w:rsidP="00DF3C35">
      <w:pPr>
        <w:tabs>
          <w:tab w:val="num" w:pos="540"/>
        </w:tabs>
        <w:ind w:left="630" w:hanging="630"/>
        <w:rPr>
          <w:rFonts w:ascii="Arial" w:hAnsi="Arial" w:cs="Arial"/>
          <w:b/>
        </w:rPr>
      </w:pPr>
    </w:p>
    <w:p w14:paraId="43D66A1C" w14:textId="608D5A74" w:rsidR="00DF3C35" w:rsidRPr="00791ECC" w:rsidRDefault="00DF3C35" w:rsidP="00875105">
      <w:pPr>
        <w:tabs>
          <w:tab w:val="left" w:pos="1080"/>
        </w:tabs>
        <w:ind w:left="1080"/>
        <w:rPr>
          <w:rFonts w:ascii="Arial" w:hAnsi="Arial" w:cs="Arial"/>
        </w:rPr>
      </w:pPr>
      <w:r w:rsidRPr="00791ECC">
        <w:rPr>
          <w:rFonts w:ascii="Arial" w:hAnsi="Arial" w:cs="Arial"/>
        </w:rPr>
        <w:t>Unsatisfactory performance or conduct occurs when a resident violates any of the following standards:  legal requirements</w:t>
      </w:r>
      <w:r>
        <w:rPr>
          <w:rFonts w:ascii="Arial" w:hAnsi="Arial" w:cs="Arial"/>
        </w:rPr>
        <w:t>,</w:t>
      </w:r>
      <w:r w:rsidRPr="00791ECC">
        <w:rPr>
          <w:rFonts w:ascii="Arial" w:hAnsi="Arial" w:cs="Arial"/>
        </w:rPr>
        <w:t xml:space="preserve"> whether state or federal or international; </w:t>
      </w:r>
      <w:r w:rsidR="00A92201">
        <w:rPr>
          <w:rFonts w:ascii="Arial" w:hAnsi="Arial" w:cs="Arial"/>
        </w:rPr>
        <w:t xml:space="preserve">terms of the </w:t>
      </w:r>
      <w:r w:rsidR="00F5433F">
        <w:rPr>
          <w:rFonts w:ascii="Arial" w:hAnsi="Arial" w:cs="Arial"/>
        </w:rPr>
        <w:t>House Staff</w:t>
      </w:r>
      <w:r w:rsidRPr="00791ECC">
        <w:rPr>
          <w:rFonts w:ascii="Arial" w:hAnsi="Arial" w:cs="Arial"/>
        </w:rPr>
        <w:t xml:space="preserve"> Agreement</w:t>
      </w:r>
      <w:r w:rsidR="00A6474A">
        <w:rPr>
          <w:rFonts w:ascii="Arial" w:hAnsi="Arial" w:cs="Arial"/>
        </w:rPr>
        <w:t xml:space="preserve"> (contract)</w:t>
      </w:r>
      <w:r w:rsidRPr="00791ECC">
        <w:rPr>
          <w:rFonts w:ascii="Arial" w:hAnsi="Arial" w:cs="Arial"/>
        </w:rPr>
        <w:t>;  Policies and Procedures; School of Medicine policies, standards, practices, and expectations; ACGME core competencies; GME</w:t>
      </w:r>
      <w:r>
        <w:rPr>
          <w:rFonts w:ascii="Arial" w:hAnsi="Arial" w:cs="Arial"/>
        </w:rPr>
        <w:t>C</w:t>
      </w:r>
      <w:r w:rsidRPr="00791ECC">
        <w:rPr>
          <w:rFonts w:ascii="Arial" w:hAnsi="Arial" w:cs="Arial"/>
        </w:rPr>
        <w:t xml:space="preserve"> policies, standards, </w:t>
      </w:r>
      <w:r w:rsidRPr="00791ECC">
        <w:rPr>
          <w:rFonts w:ascii="Arial" w:hAnsi="Arial" w:cs="Arial"/>
        </w:rPr>
        <w:lastRenderedPageBreak/>
        <w:t xml:space="preserve">practices, and expectations; program-specific policies, standards, practices, and expectations; </w:t>
      </w:r>
      <w:r w:rsidR="000C2433">
        <w:rPr>
          <w:rFonts w:ascii="Arial" w:hAnsi="Arial" w:cs="Arial"/>
        </w:rPr>
        <w:t>XXX</w:t>
      </w:r>
      <w:r w:rsidRPr="00791ECC">
        <w:rPr>
          <w:rFonts w:ascii="Arial" w:hAnsi="Arial" w:cs="Arial"/>
        </w:rPr>
        <w:t xml:space="preserve"> </w:t>
      </w:r>
      <w:r>
        <w:rPr>
          <w:rFonts w:ascii="Arial" w:hAnsi="Arial" w:cs="Arial"/>
        </w:rPr>
        <w:t>Health Care</w:t>
      </w:r>
      <w:r w:rsidRPr="00791ECC">
        <w:rPr>
          <w:rFonts w:ascii="Arial" w:hAnsi="Arial" w:cs="Arial"/>
        </w:rPr>
        <w:t xml:space="preserve"> policies, standards, practices, and expectations; policies, standards, practices, and expectations of a particular training site; ethical standards for physicians; and any other expectations communicated to </w:t>
      </w:r>
      <w:r w:rsidR="00520BF5">
        <w:rPr>
          <w:rFonts w:ascii="Arial" w:hAnsi="Arial" w:cs="Arial"/>
        </w:rPr>
        <w:t xml:space="preserve">the </w:t>
      </w:r>
      <w:r w:rsidRPr="00791ECC">
        <w:rPr>
          <w:rFonts w:ascii="Arial" w:hAnsi="Arial" w:cs="Arial"/>
        </w:rPr>
        <w:t>resident verbally or in writing (for example, by a supervising physician, chief resident, by the program, or otherwise).  In addition, unsatisfactory performance or conduct occurs when a resident engages in any behavior which a reasonable person would believe to be in violation of expectations whether or not such expectation is a defined policy, practice, standard, or expectation.  The program, in assessing the severity of the academic action to be imposed, may take into account any of the following factors, which list is not intended to be exclusive:</w:t>
      </w:r>
    </w:p>
    <w:p w14:paraId="13B19E33" w14:textId="2E0FC300" w:rsidR="00DF3C35" w:rsidRPr="00791ECC" w:rsidRDefault="00DF3C35" w:rsidP="00F62462">
      <w:pPr>
        <w:numPr>
          <w:ilvl w:val="2"/>
          <w:numId w:val="30"/>
        </w:numPr>
        <w:spacing w:before="120"/>
        <w:ind w:left="1800"/>
        <w:rPr>
          <w:rFonts w:ascii="Arial" w:hAnsi="Arial" w:cs="Arial"/>
        </w:rPr>
      </w:pPr>
      <w:r w:rsidRPr="00791ECC">
        <w:rPr>
          <w:rFonts w:ascii="Arial" w:hAnsi="Arial" w:cs="Arial"/>
        </w:rPr>
        <w:t>Physical/safety issues</w:t>
      </w:r>
    </w:p>
    <w:p w14:paraId="200EBED4" w14:textId="2DB89917" w:rsidR="00DF3C35" w:rsidRPr="00791ECC" w:rsidRDefault="00DF3C35" w:rsidP="00F62462">
      <w:pPr>
        <w:numPr>
          <w:ilvl w:val="2"/>
          <w:numId w:val="30"/>
        </w:numPr>
        <w:ind w:left="1800"/>
        <w:rPr>
          <w:rFonts w:ascii="Arial" w:hAnsi="Arial" w:cs="Arial"/>
        </w:rPr>
      </w:pPr>
      <w:r w:rsidRPr="00791ECC">
        <w:rPr>
          <w:rFonts w:ascii="Arial" w:hAnsi="Arial" w:cs="Arial"/>
        </w:rPr>
        <w:t>Service impact</w:t>
      </w:r>
    </w:p>
    <w:p w14:paraId="70BB9C9C" w14:textId="1DD5C2C7" w:rsidR="00DF3C35" w:rsidRPr="00791ECC" w:rsidRDefault="00DF3C35" w:rsidP="00F62462">
      <w:pPr>
        <w:numPr>
          <w:ilvl w:val="2"/>
          <w:numId w:val="30"/>
        </w:numPr>
        <w:ind w:left="1800"/>
        <w:rPr>
          <w:rFonts w:ascii="Arial" w:hAnsi="Arial" w:cs="Arial"/>
        </w:rPr>
      </w:pPr>
      <w:r w:rsidRPr="00791ECC">
        <w:rPr>
          <w:rFonts w:ascii="Arial" w:hAnsi="Arial" w:cs="Arial"/>
        </w:rPr>
        <w:t>Financial implications</w:t>
      </w:r>
    </w:p>
    <w:p w14:paraId="68740574" w14:textId="2C9E0158" w:rsidR="00DF3C35" w:rsidRPr="00791ECC" w:rsidRDefault="00DF3C35" w:rsidP="00F62462">
      <w:pPr>
        <w:numPr>
          <w:ilvl w:val="2"/>
          <w:numId w:val="30"/>
        </w:numPr>
        <w:ind w:left="1800"/>
        <w:rPr>
          <w:rFonts w:ascii="Arial" w:hAnsi="Arial" w:cs="Arial"/>
        </w:rPr>
      </w:pPr>
      <w:r w:rsidRPr="00791ECC">
        <w:rPr>
          <w:rFonts w:ascii="Arial" w:hAnsi="Arial" w:cs="Arial"/>
        </w:rPr>
        <w:t>Resultant disruption level</w:t>
      </w:r>
    </w:p>
    <w:p w14:paraId="46022BDA" w14:textId="77777777" w:rsidR="00DF3C35" w:rsidRPr="00791ECC" w:rsidRDefault="00DF3C35" w:rsidP="00F62462">
      <w:pPr>
        <w:numPr>
          <w:ilvl w:val="2"/>
          <w:numId w:val="30"/>
        </w:numPr>
        <w:ind w:left="1800"/>
        <w:rPr>
          <w:rFonts w:ascii="Arial" w:hAnsi="Arial" w:cs="Arial"/>
          <w:b/>
        </w:rPr>
      </w:pPr>
      <w:r w:rsidRPr="00791ECC">
        <w:rPr>
          <w:rFonts w:ascii="Arial" w:hAnsi="Arial" w:cs="Arial"/>
        </w:rPr>
        <w:t>Violation of University, ACGME, School of Medicine, GME, Hospital, training site, ethical,</w:t>
      </w:r>
      <w:r w:rsidRPr="00791ECC">
        <w:rPr>
          <w:rFonts w:ascii="Arial" w:hAnsi="Arial" w:cs="Arial"/>
          <w:b/>
        </w:rPr>
        <w:t xml:space="preserve"> </w:t>
      </w:r>
      <w:r w:rsidRPr="00791ECC">
        <w:rPr>
          <w:rFonts w:ascii="Arial" w:hAnsi="Arial" w:cs="Arial"/>
        </w:rPr>
        <w:t>or Program standards;</w:t>
      </w:r>
    </w:p>
    <w:p w14:paraId="5C591592" w14:textId="44A65786" w:rsidR="00DF3C35" w:rsidRPr="00791ECC" w:rsidRDefault="00DF3C35" w:rsidP="00F62462">
      <w:pPr>
        <w:numPr>
          <w:ilvl w:val="2"/>
          <w:numId w:val="30"/>
        </w:numPr>
        <w:ind w:left="1800"/>
        <w:rPr>
          <w:rFonts w:ascii="Arial" w:hAnsi="Arial" w:cs="Arial"/>
        </w:rPr>
      </w:pPr>
      <w:r w:rsidRPr="00791ECC">
        <w:rPr>
          <w:rFonts w:ascii="Arial" w:hAnsi="Arial" w:cs="Arial"/>
        </w:rPr>
        <w:t xml:space="preserve">Violation of law </w:t>
      </w:r>
    </w:p>
    <w:p w14:paraId="609D77E6" w14:textId="75B6B6B4" w:rsidR="00DF3C35" w:rsidRPr="00791ECC" w:rsidRDefault="00DF3C35" w:rsidP="00F62462">
      <w:pPr>
        <w:numPr>
          <w:ilvl w:val="2"/>
          <w:numId w:val="30"/>
        </w:numPr>
        <w:ind w:left="1800"/>
        <w:rPr>
          <w:rFonts w:ascii="Arial" w:hAnsi="Arial" w:cs="Arial"/>
        </w:rPr>
      </w:pPr>
      <w:r w:rsidRPr="00791ECC">
        <w:rPr>
          <w:rFonts w:ascii="Arial" w:hAnsi="Arial" w:cs="Arial"/>
        </w:rPr>
        <w:t xml:space="preserve">Magnitude of deviation from standards </w:t>
      </w:r>
    </w:p>
    <w:p w14:paraId="140DA80C" w14:textId="7F33314E" w:rsidR="00DF3C35" w:rsidRPr="00791ECC" w:rsidRDefault="00DF3C35" w:rsidP="00F62462">
      <w:pPr>
        <w:numPr>
          <w:ilvl w:val="2"/>
          <w:numId w:val="30"/>
        </w:numPr>
        <w:ind w:left="1800"/>
        <w:rPr>
          <w:rFonts w:ascii="Arial" w:hAnsi="Arial" w:cs="Arial"/>
        </w:rPr>
      </w:pPr>
      <w:r w:rsidRPr="00791ECC">
        <w:rPr>
          <w:rFonts w:ascii="Arial" w:hAnsi="Arial" w:cs="Arial"/>
        </w:rPr>
        <w:t>Past history of previous performance or conduct issues</w:t>
      </w:r>
    </w:p>
    <w:p w14:paraId="6AF480A4" w14:textId="77777777" w:rsidR="00DF3C35" w:rsidRPr="00791ECC" w:rsidRDefault="00DF3C35" w:rsidP="00DF3C35">
      <w:pPr>
        <w:ind w:left="1980"/>
        <w:rPr>
          <w:rFonts w:ascii="Arial" w:hAnsi="Arial" w:cs="Arial"/>
        </w:rPr>
      </w:pPr>
    </w:p>
    <w:p w14:paraId="40F7FAD4" w14:textId="77777777" w:rsidR="00DF3C35" w:rsidRPr="00791ECC" w:rsidRDefault="00DF3C35" w:rsidP="00F62462">
      <w:pPr>
        <w:numPr>
          <w:ilvl w:val="0"/>
          <w:numId w:val="28"/>
        </w:numPr>
        <w:ind w:left="1080"/>
        <w:rPr>
          <w:rFonts w:ascii="Arial" w:hAnsi="Arial" w:cs="Arial"/>
        </w:rPr>
      </w:pPr>
      <w:r w:rsidRPr="00F62462">
        <w:rPr>
          <w:rFonts w:ascii="Arial" w:hAnsi="Arial" w:cs="Arial"/>
          <w:b/>
        </w:rPr>
        <w:t>Types of Academic Actions</w:t>
      </w:r>
      <w:r w:rsidRPr="00791ECC">
        <w:rPr>
          <w:rFonts w:ascii="Arial" w:hAnsi="Arial" w:cs="Arial"/>
        </w:rPr>
        <w:t>.  Possible academic actions include but are not limited to:</w:t>
      </w:r>
    </w:p>
    <w:p w14:paraId="045E7C8C" w14:textId="69F767F5" w:rsidR="00DF3C35" w:rsidRPr="00791ECC" w:rsidRDefault="00DF3C35" w:rsidP="00F62462">
      <w:pPr>
        <w:numPr>
          <w:ilvl w:val="2"/>
          <w:numId w:val="32"/>
        </w:numPr>
        <w:spacing w:before="120"/>
        <w:ind w:left="1800"/>
        <w:rPr>
          <w:rFonts w:ascii="Arial" w:hAnsi="Arial" w:cs="Arial"/>
        </w:rPr>
      </w:pPr>
      <w:r w:rsidRPr="00791ECC">
        <w:rPr>
          <w:rFonts w:ascii="Arial" w:hAnsi="Arial" w:cs="Arial"/>
        </w:rPr>
        <w:t>Corrective action (sometimes referred to as letter of warning or letter of expectations)</w:t>
      </w:r>
    </w:p>
    <w:p w14:paraId="37DCBF0E" w14:textId="7D8C0C46" w:rsidR="00DF3C35" w:rsidRPr="00791ECC" w:rsidRDefault="00DF3C35" w:rsidP="00F62462">
      <w:pPr>
        <w:numPr>
          <w:ilvl w:val="2"/>
          <w:numId w:val="32"/>
        </w:numPr>
        <w:ind w:left="1800"/>
        <w:rPr>
          <w:rFonts w:ascii="Arial" w:hAnsi="Arial" w:cs="Arial"/>
        </w:rPr>
      </w:pPr>
      <w:r w:rsidRPr="00791ECC">
        <w:rPr>
          <w:rFonts w:ascii="Arial" w:hAnsi="Arial" w:cs="Arial"/>
        </w:rPr>
        <w:t>Repeating a rotation or a portion of a rotation</w:t>
      </w:r>
    </w:p>
    <w:p w14:paraId="2A9A5EC5" w14:textId="00BFE76C" w:rsidR="00DF3C35" w:rsidRPr="00791ECC" w:rsidRDefault="00DF3C35" w:rsidP="00F62462">
      <w:pPr>
        <w:numPr>
          <w:ilvl w:val="2"/>
          <w:numId w:val="32"/>
        </w:numPr>
        <w:ind w:left="1800"/>
        <w:rPr>
          <w:rFonts w:ascii="Arial" w:hAnsi="Arial" w:cs="Arial"/>
        </w:rPr>
      </w:pPr>
      <w:r w:rsidRPr="00791ECC">
        <w:rPr>
          <w:rFonts w:ascii="Arial" w:hAnsi="Arial" w:cs="Arial"/>
        </w:rPr>
        <w:t xml:space="preserve">Repeating a </w:t>
      </w:r>
      <w:r>
        <w:rPr>
          <w:rFonts w:ascii="Arial" w:hAnsi="Arial" w:cs="Arial"/>
        </w:rPr>
        <w:t xml:space="preserve">training </w:t>
      </w:r>
      <w:r w:rsidRPr="00791ECC">
        <w:rPr>
          <w:rFonts w:ascii="Arial" w:hAnsi="Arial" w:cs="Arial"/>
        </w:rPr>
        <w:t xml:space="preserve">year or a portion of a </w:t>
      </w:r>
      <w:r>
        <w:rPr>
          <w:rFonts w:ascii="Arial" w:hAnsi="Arial" w:cs="Arial"/>
        </w:rPr>
        <w:t xml:space="preserve">training </w:t>
      </w:r>
      <w:r w:rsidRPr="00791ECC">
        <w:rPr>
          <w:rFonts w:ascii="Arial" w:hAnsi="Arial" w:cs="Arial"/>
        </w:rPr>
        <w:t>year</w:t>
      </w:r>
    </w:p>
    <w:p w14:paraId="7F326781" w14:textId="5CA002D2" w:rsidR="00DF3C35" w:rsidRPr="00791ECC" w:rsidRDefault="00DF3C35" w:rsidP="00F62462">
      <w:pPr>
        <w:numPr>
          <w:ilvl w:val="2"/>
          <w:numId w:val="32"/>
        </w:numPr>
        <w:ind w:left="1800"/>
        <w:rPr>
          <w:rFonts w:ascii="Arial" w:hAnsi="Arial" w:cs="Arial"/>
        </w:rPr>
      </w:pPr>
      <w:r w:rsidRPr="00791ECC">
        <w:rPr>
          <w:rFonts w:ascii="Arial" w:hAnsi="Arial" w:cs="Arial"/>
        </w:rPr>
        <w:t xml:space="preserve">Special program such as special supervision or a defined academic </w:t>
      </w:r>
      <w:r w:rsidR="00A6474A">
        <w:rPr>
          <w:rFonts w:ascii="Arial" w:hAnsi="Arial" w:cs="Arial"/>
        </w:rPr>
        <w:t>study</w:t>
      </w:r>
      <w:r w:rsidR="00A6474A" w:rsidRPr="00791ECC">
        <w:rPr>
          <w:rFonts w:ascii="Arial" w:hAnsi="Arial" w:cs="Arial"/>
        </w:rPr>
        <w:t xml:space="preserve"> </w:t>
      </w:r>
      <w:r w:rsidRPr="00791ECC">
        <w:rPr>
          <w:rFonts w:ascii="Arial" w:hAnsi="Arial" w:cs="Arial"/>
        </w:rPr>
        <w:t>period</w:t>
      </w:r>
    </w:p>
    <w:p w14:paraId="4BB9CC0E" w14:textId="6B641244" w:rsidR="00DF3C35" w:rsidRPr="00791ECC" w:rsidRDefault="00DF3C35" w:rsidP="00F62462">
      <w:pPr>
        <w:numPr>
          <w:ilvl w:val="2"/>
          <w:numId w:val="32"/>
        </w:numPr>
        <w:ind w:left="1800"/>
        <w:rPr>
          <w:rFonts w:ascii="Arial" w:hAnsi="Arial" w:cs="Arial"/>
        </w:rPr>
      </w:pPr>
      <w:r w:rsidRPr="00791ECC">
        <w:rPr>
          <w:rFonts w:ascii="Arial" w:hAnsi="Arial" w:cs="Arial"/>
        </w:rPr>
        <w:t xml:space="preserve">Conditions placed in </w:t>
      </w:r>
      <w:r>
        <w:rPr>
          <w:rFonts w:ascii="Arial" w:hAnsi="Arial" w:cs="Arial"/>
        </w:rPr>
        <w:t xml:space="preserve">the </w:t>
      </w:r>
      <w:r w:rsidR="00F5433F">
        <w:rPr>
          <w:rFonts w:ascii="Arial" w:hAnsi="Arial" w:cs="Arial"/>
        </w:rPr>
        <w:t>House Staff</w:t>
      </w:r>
      <w:r>
        <w:rPr>
          <w:rFonts w:ascii="Arial" w:hAnsi="Arial" w:cs="Arial"/>
        </w:rPr>
        <w:t xml:space="preserve"> Agreement</w:t>
      </w:r>
    </w:p>
    <w:p w14:paraId="31D6093B" w14:textId="791D9F68" w:rsidR="00DF3C35" w:rsidRPr="00791ECC" w:rsidRDefault="00DF3C35" w:rsidP="00F62462">
      <w:pPr>
        <w:numPr>
          <w:ilvl w:val="2"/>
          <w:numId w:val="32"/>
        </w:numPr>
        <w:ind w:left="1800"/>
        <w:rPr>
          <w:rFonts w:ascii="Arial" w:hAnsi="Arial" w:cs="Arial"/>
        </w:rPr>
      </w:pPr>
      <w:r w:rsidRPr="00791ECC">
        <w:rPr>
          <w:rFonts w:ascii="Arial" w:hAnsi="Arial" w:cs="Arial"/>
        </w:rPr>
        <w:t>Suspension</w:t>
      </w:r>
      <w:r w:rsidR="00330981">
        <w:rPr>
          <w:rFonts w:ascii="Arial" w:hAnsi="Arial" w:cs="Arial"/>
        </w:rPr>
        <w:t xml:space="preserve"> (temporary removal from academic and/or clinical </w:t>
      </w:r>
      <w:r w:rsidR="00BF042F">
        <w:rPr>
          <w:rFonts w:ascii="Arial" w:hAnsi="Arial" w:cs="Arial"/>
        </w:rPr>
        <w:t>duties and</w:t>
      </w:r>
      <w:r w:rsidR="00330981">
        <w:rPr>
          <w:rFonts w:ascii="Arial" w:hAnsi="Arial" w:cs="Arial"/>
        </w:rPr>
        <w:t xml:space="preserve"> responsibilities)</w:t>
      </w:r>
    </w:p>
    <w:p w14:paraId="7B2CF598" w14:textId="007942F5" w:rsidR="00DF3C35" w:rsidRPr="00791ECC" w:rsidRDefault="00DF3C35" w:rsidP="00F62462">
      <w:pPr>
        <w:numPr>
          <w:ilvl w:val="2"/>
          <w:numId w:val="32"/>
        </w:numPr>
        <w:ind w:left="1800"/>
        <w:rPr>
          <w:rFonts w:ascii="Arial" w:hAnsi="Arial" w:cs="Arial"/>
        </w:rPr>
      </w:pPr>
      <w:r w:rsidRPr="00791ECC">
        <w:rPr>
          <w:rFonts w:ascii="Arial" w:hAnsi="Arial" w:cs="Arial"/>
        </w:rPr>
        <w:t>Non-renewal of contract</w:t>
      </w:r>
    </w:p>
    <w:p w14:paraId="06D6CE45" w14:textId="470A7351" w:rsidR="00DF3C35" w:rsidRPr="00791ECC" w:rsidRDefault="00DF3C35" w:rsidP="00F62462">
      <w:pPr>
        <w:numPr>
          <w:ilvl w:val="2"/>
          <w:numId w:val="32"/>
        </w:numPr>
        <w:ind w:left="1800"/>
        <w:rPr>
          <w:rFonts w:ascii="Arial" w:hAnsi="Arial" w:cs="Arial"/>
        </w:rPr>
      </w:pPr>
      <w:r w:rsidRPr="00791ECC">
        <w:rPr>
          <w:rFonts w:ascii="Arial" w:hAnsi="Arial" w:cs="Arial"/>
        </w:rPr>
        <w:t>Probation</w:t>
      </w:r>
      <w:r w:rsidR="00107778">
        <w:rPr>
          <w:rStyle w:val="FootnoteReference"/>
          <w:rFonts w:ascii="Arial" w:hAnsi="Arial" w:cs="Arial"/>
        </w:rPr>
        <w:footnoteReference w:id="2"/>
      </w:r>
    </w:p>
    <w:p w14:paraId="79B3DEE4" w14:textId="6C6BD01C" w:rsidR="00DF3C35" w:rsidRPr="00791ECC" w:rsidRDefault="00DF3C35" w:rsidP="00F62462">
      <w:pPr>
        <w:numPr>
          <w:ilvl w:val="2"/>
          <w:numId w:val="32"/>
        </w:numPr>
        <w:ind w:left="1800"/>
        <w:rPr>
          <w:rFonts w:ascii="Arial" w:hAnsi="Arial" w:cs="Arial"/>
        </w:rPr>
      </w:pPr>
      <w:r w:rsidRPr="00791ECC">
        <w:rPr>
          <w:rFonts w:ascii="Arial" w:hAnsi="Arial" w:cs="Arial"/>
        </w:rPr>
        <w:t>Dismissal</w:t>
      </w:r>
      <w:r w:rsidR="00330981">
        <w:rPr>
          <w:rFonts w:ascii="Arial" w:hAnsi="Arial" w:cs="Arial"/>
        </w:rPr>
        <w:t xml:space="preserve"> (termination of employment)</w:t>
      </w:r>
      <w:r w:rsidRPr="00791ECC">
        <w:rPr>
          <w:rFonts w:ascii="Arial" w:hAnsi="Arial" w:cs="Arial"/>
        </w:rPr>
        <w:t>.</w:t>
      </w:r>
    </w:p>
    <w:p w14:paraId="047AC904" w14:textId="77777777" w:rsidR="00DF3C35" w:rsidRPr="00791ECC" w:rsidRDefault="00DF3C35" w:rsidP="00DF3C35">
      <w:pPr>
        <w:ind w:left="1980"/>
        <w:rPr>
          <w:rFonts w:ascii="Arial" w:hAnsi="Arial" w:cs="Arial"/>
        </w:rPr>
      </w:pPr>
    </w:p>
    <w:p w14:paraId="757E5F6A" w14:textId="72673243" w:rsidR="00DF3C35" w:rsidRPr="00791ECC" w:rsidRDefault="00DF3C35" w:rsidP="00BB035F">
      <w:pPr>
        <w:numPr>
          <w:ilvl w:val="0"/>
          <w:numId w:val="28"/>
        </w:numPr>
        <w:ind w:left="1080"/>
        <w:rPr>
          <w:rFonts w:ascii="Arial" w:hAnsi="Arial" w:cs="Arial"/>
        </w:rPr>
      </w:pPr>
      <w:r w:rsidRPr="00BB035F">
        <w:rPr>
          <w:rFonts w:ascii="Arial" w:hAnsi="Arial" w:cs="Arial"/>
          <w:b/>
        </w:rPr>
        <w:t>Severity of Academic</w:t>
      </w:r>
      <w:r w:rsidRPr="00791ECC">
        <w:rPr>
          <w:rFonts w:ascii="Arial" w:hAnsi="Arial" w:cs="Arial"/>
        </w:rPr>
        <w:t xml:space="preserve"> </w:t>
      </w:r>
      <w:r w:rsidRPr="00F62462">
        <w:rPr>
          <w:rFonts w:ascii="Arial" w:hAnsi="Arial" w:cs="Arial"/>
          <w:b/>
        </w:rPr>
        <w:t>Action</w:t>
      </w:r>
      <w:r w:rsidR="009D6E6D">
        <w:rPr>
          <w:rFonts w:ascii="Arial" w:hAnsi="Arial" w:cs="Arial"/>
        </w:rPr>
        <w:t>.</w:t>
      </w:r>
    </w:p>
    <w:p w14:paraId="0C1F51DC" w14:textId="254C78F5" w:rsidR="00DF3C35" w:rsidRPr="00791ECC" w:rsidRDefault="00DF3C35" w:rsidP="00BB035F">
      <w:pPr>
        <w:numPr>
          <w:ilvl w:val="2"/>
          <w:numId w:val="34"/>
        </w:numPr>
        <w:spacing w:before="120"/>
        <w:ind w:left="1800"/>
        <w:rPr>
          <w:rFonts w:ascii="Arial" w:hAnsi="Arial" w:cs="Arial"/>
        </w:rPr>
      </w:pPr>
      <w:r w:rsidRPr="00791ECC">
        <w:rPr>
          <w:rFonts w:ascii="Arial" w:hAnsi="Arial" w:cs="Arial"/>
        </w:rPr>
        <w:t xml:space="preserve">The </w:t>
      </w:r>
      <w:r>
        <w:rPr>
          <w:rFonts w:ascii="Arial" w:hAnsi="Arial" w:cs="Arial"/>
        </w:rPr>
        <w:t>Program Director</w:t>
      </w:r>
      <w:r w:rsidR="009D6E6D">
        <w:rPr>
          <w:rFonts w:ascii="Arial" w:hAnsi="Arial" w:cs="Arial"/>
        </w:rPr>
        <w:t>, his/her designee</w:t>
      </w:r>
      <w:r w:rsidRPr="00791ECC">
        <w:rPr>
          <w:rFonts w:ascii="Arial" w:hAnsi="Arial" w:cs="Arial"/>
        </w:rPr>
        <w:t xml:space="preserve"> or </w:t>
      </w:r>
      <w:r w:rsidR="009D6E6D">
        <w:rPr>
          <w:rFonts w:ascii="Arial" w:hAnsi="Arial" w:cs="Arial"/>
        </w:rPr>
        <w:t xml:space="preserve">the </w:t>
      </w:r>
      <w:r w:rsidR="00A6474A">
        <w:rPr>
          <w:rFonts w:ascii="Arial" w:hAnsi="Arial" w:cs="Arial"/>
        </w:rPr>
        <w:t xml:space="preserve">program’s </w:t>
      </w:r>
      <w:r w:rsidR="009D6E6D">
        <w:rPr>
          <w:rFonts w:ascii="Arial" w:hAnsi="Arial" w:cs="Arial"/>
        </w:rPr>
        <w:t>Clinical Competency Committee</w:t>
      </w:r>
      <w:r w:rsidR="00D92F54">
        <w:rPr>
          <w:rFonts w:ascii="Arial" w:hAnsi="Arial" w:cs="Arial"/>
        </w:rPr>
        <w:t xml:space="preserve"> (CCC)</w:t>
      </w:r>
      <w:r w:rsidR="009D6E6D" w:rsidRPr="00791ECC">
        <w:rPr>
          <w:rFonts w:ascii="Arial" w:hAnsi="Arial" w:cs="Arial"/>
        </w:rPr>
        <w:t xml:space="preserve"> </w:t>
      </w:r>
      <w:r w:rsidRPr="00791ECC">
        <w:rPr>
          <w:rFonts w:ascii="Arial" w:hAnsi="Arial" w:cs="Arial"/>
        </w:rPr>
        <w:t xml:space="preserve">will determine the </w:t>
      </w:r>
      <w:r w:rsidR="009D6E6D">
        <w:rPr>
          <w:rFonts w:ascii="Arial" w:hAnsi="Arial" w:cs="Arial"/>
        </w:rPr>
        <w:t>type</w:t>
      </w:r>
      <w:r w:rsidR="009D6E6D" w:rsidRPr="00791ECC">
        <w:rPr>
          <w:rFonts w:ascii="Arial" w:hAnsi="Arial" w:cs="Arial"/>
        </w:rPr>
        <w:t xml:space="preserve"> </w:t>
      </w:r>
      <w:r w:rsidRPr="00791ECC">
        <w:rPr>
          <w:rFonts w:ascii="Arial" w:hAnsi="Arial" w:cs="Arial"/>
        </w:rPr>
        <w:t xml:space="preserve">of academic action </w:t>
      </w:r>
      <w:r w:rsidR="009D6E6D">
        <w:rPr>
          <w:rFonts w:ascii="Arial" w:hAnsi="Arial" w:cs="Arial"/>
        </w:rPr>
        <w:t xml:space="preserve">to be imposed </w:t>
      </w:r>
      <w:r w:rsidRPr="00791ECC">
        <w:rPr>
          <w:rFonts w:ascii="Arial" w:hAnsi="Arial" w:cs="Arial"/>
        </w:rPr>
        <w:t>depending on the factors in II</w:t>
      </w:r>
      <w:r>
        <w:rPr>
          <w:rFonts w:ascii="Arial" w:hAnsi="Arial" w:cs="Arial"/>
        </w:rPr>
        <w:t>I</w:t>
      </w:r>
      <w:r w:rsidRPr="00791ECC">
        <w:rPr>
          <w:rFonts w:ascii="Arial" w:hAnsi="Arial" w:cs="Arial"/>
        </w:rPr>
        <w:t xml:space="preserve">.b. above and on </w:t>
      </w:r>
      <w:r w:rsidR="009D6E6D">
        <w:rPr>
          <w:rFonts w:ascii="Arial" w:hAnsi="Arial" w:cs="Arial"/>
        </w:rPr>
        <w:t>a</w:t>
      </w:r>
      <w:r w:rsidRPr="00791ECC">
        <w:rPr>
          <w:rFonts w:ascii="Arial" w:hAnsi="Arial" w:cs="Arial"/>
        </w:rPr>
        <w:t xml:space="preserve"> determination of the </w:t>
      </w:r>
      <w:r w:rsidR="009D6E6D">
        <w:rPr>
          <w:rFonts w:ascii="Arial" w:hAnsi="Arial" w:cs="Arial"/>
        </w:rPr>
        <w:t>severity</w:t>
      </w:r>
      <w:r w:rsidR="009D6E6D" w:rsidRPr="00791ECC">
        <w:rPr>
          <w:rFonts w:ascii="Arial" w:hAnsi="Arial" w:cs="Arial"/>
        </w:rPr>
        <w:t xml:space="preserve"> </w:t>
      </w:r>
      <w:r w:rsidRPr="00791ECC">
        <w:rPr>
          <w:rFonts w:ascii="Arial" w:hAnsi="Arial" w:cs="Arial"/>
        </w:rPr>
        <w:t xml:space="preserve">of the resident’s performance or conduct.  </w:t>
      </w:r>
    </w:p>
    <w:p w14:paraId="28940B36" w14:textId="77777777" w:rsidR="00DF3C35" w:rsidRPr="00791ECC" w:rsidRDefault="00DF3C35" w:rsidP="00BB035F">
      <w:pPr>
        <w:numPr>
          <w:ilvl w:val="2"/>
          <w:numId w:val="34"/>
        </w:numPr>
        <w:ind w:left="1800"/>
        <w:rPr>
          <w:rFonts w:ascii="Arial" w:hAnsi="Arial" w:cs="Arial"/>
        </w:rPr>
      </w:pPr>
      <w:r w:rsidRPr="00791ECC">
        <w:rPr>
          <w:rFonts w:ascii="Arial" w:hAnsi="Arial" w:cs="Arial"/>
        </w:rPr>
        <w:lastRenderedPageBreak/>
        <w:t xml:space="preserve">There is no requirement that academic actions be progressive in nature.  </w:t>
      </w:r>
    </w:p>
    <w:p w14:paraId="527EE97D" w14:textId="77777777" w:rsidR="00DF3C35" w:rsidRPr="00791ECC" w:rsidRDefault="00DF3C35" w:rsidP="00BB035F">
      <w:pPr>
        <w:numPr>
          <w:ilvl w:val="2"/>
          <w:numId w:val="34"/>
        </w:numPr>
        <w:ind w:left="1800"/>
        <w:rPr>
          <w:rFonts w:ascii="Arial" w:hAnsi="Arial" w:cs="Arial"/>
        </w:rPr>
      </w:pPr>
      <w:r w:rsidRPr="00791ECC">
        <w:rPr>
          <w:rFonts w:ascii="Arial" w:hAnsi="Arial" w:cs="Arial"/>
        </w:rPr>
        <w:t xml:space="preserve">As applicable, a combination of academic actions may be imposed at the same time.  </w:t>
      </w:r>
    </w:p>
    <w:p w14:paraId="69D03633" w14:textId="77777777" w:rsidR="00DF3C35" w:rsidRPr="00791ECC" w:rsidRDefault="00DF3C35" w:rsidP="00DF3C35">
      <w:pPr>
        <w:ind w:left="1980"/>
        <w:rPr>
          <w:rFonts w:ascii="Arial" w:hAnsi="Arial" w:cs="Arial"/>
        </w:rPr>
      </w:pPr>
    </w:p>
    <w:p w14:paraId="73BC41E7" w14:textId="77777777" w:rsidR="00DF3C35" w:rsidRPr="00791ECC" w:rsidRDefault="00DF3C35" w:rsidP="00BB035F">
      <w:pPr>
        <w:numPr>
          <w:ilvl w:val="0"/>
          <w:numId w:val="28"/>
        </w:numPr>
        <w:ind w:left="1080"/>
        <w:rPr>
          <w:rFonts w:ascii="Arial" w:hAnsi="Arial" w:cs="Arial"/>
        </w:rPr>
      </w:pPr>
      <w:r w:rsidRPr="00BB035F">
        <w:rPr>
          <w:rFonts w:ascii="Arial" w:hAnsi="Arial" w:cs="Arial"/>
          <w:b/>
        </w:rPr>
        <w:t>Notification to Resident and Opportunity for Written Response</w:t>
      </w:r>
      <w:r w:rsidRPr="00791ECC">
        <w:rPr>
          <w:rFonts w:ascii="Arial" w:hAnsi="Arial" w:cs="Arial"/>
        </w:rPr>
        <w:t>.</w:t>
      </w:r>
    </w:p>
    <w:p w14:paraId="18393308" w14:textId="77777777" w:rsidR="00DF3C35" w:rsidRDefault="00DF3C35" w:rsidP="00BB035F">
      <w:pPr>
        <w:numPr>
          <w:ilvl w:val="2"/>
          <w:numId w:val="35"/>
        </w:numPr>
        <w:spacing w:before="120"/>
        <w:ind w:left="1800"/>
        <w:rPr>
          <w:rFonts w:ascii="Arial" w:hAnsi="Arial" w:cs="Arial"/>
        </w:rPr>
      </w:pPr>
      <w:r w:rsidRPr="00104B3C">
        <w:rPr>
          <w:rFonts w:ascii="Arial" w:hAnsi="Arial" w:cs="Arial"/>
        </w:rPr>
        <w:t>The program will notify the resident in writing of any academic action to be imposed and the reasons for that action.</w:t>
      </w:r>
    </w:p>
    <w:p w14:paraId="78C9EE34" w14:textId="78742732" w:rsidR="00D92F54" w:rsidRPr="00052ED5" w:rsidRDefault="00D92F54" w:rsidP="00BB035F">
      <w:pPr>
        <w:numPr>
          <w:ilvl w:val="2"/>
          <w:numId w:val="35"/>
        </w:numPr>
        <w:ind w:left="1800"/>
        <w:rPr>
          <w:rFonts w:ascii="Arial" w:hAnsi="Arial" w:cs="Arial"/>
        </w:rPr>
      </w:pPr>
      <w:r w:rsidRPr="00052ED5">
        <w:rPr>
          <w:rFonts w:ascii="Arial" w:hAnsi="Arial" w:cs="Arial"/>
        </w:rPr>
        <w:t xml:space="preserve">The </w:t>
      </w:r>
      <w:r w:rsidR="000569CD" w:rsidRPr="00052ED5">
        <w:rPr>
          <w:rFonts w:ascii="Arial" w:hAnsi="Arial" w:cs="Arial"/>
        </w:rPr>
        <w:t>academic action letter must be specific, and,</w:t>
      </w:r>
      <w:r w:rsidRPr="00052ED5">
        <w:rPr>
          <w:rFonts w:ascii="Arial" w:hAnsi="Arial" w:cs="Arial"/>
        </w:rPr>
        <w:t xml:space="preserve"> ideally</w:t>
      </w:r>
      <w:r w:rsidR="000569CD" w:rsidRPr="00052ED5">
        <w:rPr>
          <w:rFonts w:ascii="Arial" w:hAnsi="Arial" w:cs="Arial"/>
        </w:rPr>
        <w:t>,</w:t>
      </w:r>
      <w:r w:rsidRPr="00052ED5">
        <w:rPr>
          <w:rFonts w:ascii="Arial" w:hAnsi="Arial" w:cs="Arial"/>
        </w:rPr>
        <w:t xml:space="preserve"> arrived at after consultation with the resident as well as any involved faculty, staff, other supervisors, the </w:t>
      </w:r>
      <w:r w:rsidR="00100D26" w:rsidRPr="00052ED5">
        <w:rPr>
          <w:rFonts w:ascii="Arial" w:hAnsi="Arial" w:cs="Arial"/>
        </w:rPr>
        <w:t>program’s Clinical Competency Committee (</w:t>
      </w:r>
      <w:r w:rsidRPr="00052ED5">
        <w:rPr>
          <w:rFonts w:ascii="Arial" w:hAnsi="Arial" w:cs="Arial"/>
        </w:rPr>
        <w:t>CCC</w:t>
      </w:r>
      <w:r w:rsidR="00100D26" w:rsidRPr="00052ED5">
        <w:rPr>
          <w:rFonts w:ascii="Arial" w:hAnsi="Arial" w:cs="Arial"/>
        </w:rPr>
        <w:t>)</w:t>
      </w:r>
      <w:r w:rsidRPr="00052ED5">
        <w:rPr>
          <w:rFonts w:ascii="Arial" w:hAnsi="Arial" w:cs="Arial"/>
        </w:rPr>
        <w:t xml:space="preserve"> and the program director.  It must </w:t>
      </w:r>
      <w:r w:rsidR="000569CD" w:rsidRPr="00052ED5">
        <w:rPr>
          <w:rFonts w:ascii="Arial" w:hAnsi="Arial" w:cs="Arial"/>
        </w:rPr>
        <w:t>clearly explain</w:t>
      </w:r>
      <w:r w:rsidRPr="00052ED5">
        <w:rPr>
          <w:rFonts w:ascii="Arial" w:hAnsi="Arial" w:cs="Arial"/>
        </w:rPr>
        <w:t xml:space="preserve"> the r</w:t>
      </w:r>
      <w:r w:rsidR="000569CD" w:rsidRPr="00052ED5">
        <w:rPr>
          <w:rFonts w:ascii="Arial" w:hAnsi="Arial" w:cs="Arial"/>
        </w:rPr>
        <w:t xml:space="preserve">easons for the academic action as well as specific </w:t>
      </w:r>
      <w:r w:rsidRPr="00052ED5">
        <w:rPr>
          <w:rFonts w:ascii="Arial" w:hAnsi="Arial" w:cs="Arial"/>
        </w:rPr>
        <w:t xml:space="preserve">expectations for </w:t>
      </w:r>
      <w:r w:rsidR="00A81D94" w:rsidRPr="00052ED5">
        <w:rPr>
          <w:rFonts w:ascii="Arial" w:hAnsi="Arial" w:cs="Arial"/>
        </w:rPr>
        <w:t>remediating</w:t>
      </w:r>
      <w:r w:rsidRPr="00052ED5">
        <w:rPr>
          <w:rFonts w:ascii="Arial" w:hAnsi="Arial" w:cs="Arial"/>
        </w:rPr>
        <w:t xml:space="preserve"> any </w:t>
      </w:r>
      <w:r w:rsidR="000569CD" w:rsidRPr="00052ED5">
        <w:rPr>
          <w:rFonts w:ascii="Arial" w:hAnsi="Arial" w:cs="Arial"/>
        </w:rPr>
        <w:t xml:space="preserve">identified </w:t>
      </w:r>
      <w:r w:rsidRPr="00052ED5">
        <w:rPr>
          <w:rFonts w:ascii="Arial" w:hAnsi="Arial" w:cs="Arial"/>
        </w:rPr>
        <w:t xml:space="preserve">deficiencies or performance problems, </w:t>
      </w:r>
      <w:r w:rsidR="000569CD" w:rsidRPr="00052ED5">
        <w:rPr>
          <w:rFonts w:ascii="Arial" w:hAnsi="Arial" w:cs="Arial"/>
        </w:rPr>
        <w:t xml:space="preserve">the timeframe in which improvement must be accomplished, and the </w:t>
      </w:r>
      <w:r w:rsidR="00100D26" w:rsidRPr="00052ED5">
        <w:rPr>
          <w:rFonts w:ascii="Arial" w:hAnsi="Arial" w:cs="Arial"/>
        </w:rPr>
        <w:t xml:space="preserve">potential </w:t>
      </w:r>
      <w:r w:rsidR="000569CD" w:rsidRPr="00052ED5">
        <w:rPr>
          <w:rFonts w:ascii="Arial" w:hAnsi="Arial" w:cs="Arial"/>
        </w:rPr>
        <w:t xml:space="preserve">consequences of failing to fulfill the expectations </w:t>
      </w:r>
      <w:r w:rsidR="000569CD" w:rsidRPr="00394DD3">
        <w:rPr>
          <w:rFonts w:ascii="Arial" w:hAnsi="Arial" w:cs="Arial"/>
        </w:rPr>
        <w:t>specified</w:t>
      </w:r>
      <w:r w:rsidRPr="00394DD3">
        <w:rPr>
          <w:rFonts w:ascii="Arial" w:hAnsi="Arial" w:cs="Arial"/>
        </w:rPr>
        <w:t xml:space="preserve"> in the letter</w:t>
      </w:r>
      <w:r w:rsidR="000569CD" w:rsidRPr="00394DD3">
        <w:rPr>
          <w:rFonts w:ascii="Arial" w:hAnsi="Arial" w:cs="Arial"/>
        </w:rPr>
        <w:t>.</w:t>
      </w:r>
      <w:r w:rsidR="00052ED5" w:rsidRPr="00394DD3">
        <w:rPr>
          <w:rFonts w:ascii="Arial" w:hAnsi="Arial" w:cs="Arial"/>
        </w:rPr>
        <w:t xml:space="preserve">  The resident should acknowledge receipt of the</w:t>
      </w:r>
      <w:r w:rsidR="00052ED5">
        <w:rPr>
          <w:rFonts w:ascii="Arial" w:hAnsi="Arial" w:cs="Arial"/>
          <w:color w:val="FF0000"/>
        </w:rPr>
        <w:t xml:space="preserve"> </w:t>
      </w:r>
      <w:r w:rsidR="00052ED5" w:rsidRPr="00394DD3">
        <w:rPr>
          <w:rFonts w:ascii="Arial" w:hAnsi="Arial" w:cs="Arial"/>
        </w:rPr>
        <w:t xml:space="preserve">academic action letter by </w:t>
      </w:r>
      <w:r w:rsidR="00052ED5" w:rsidRPr="00394DD3">
        <w:rPr>
          <w:rFonts w:ascii="Arial" w:hAnsi="Arial"/>
        </w:rPr>
        <w:t>signing</w:t>
      </w:r>
      <w:r w:rsidR="00052ED5" w:rsidRPr="00052ED5">
        <w:rPr>
          <w:rFonts w:ascii="Arial" w:hAnsi="Arial"/>
        </w:rPr>
        <w:t xml:space="preserve"> and dating</w:t>
      </w:r>
      <w:r w:rsidR="00052ED5">
        <w:rPr>
          <w:rFonts w:ascii="Arial" w:hAnsi="Arial"/>
        </w:rPr>
        <w:t xml:space="preserve"> it</w:t>
      </w:r>
      <w:r w:rsidR="00052ED5" w:rsidRPr="000117F4">
        <w:rPr>
          <w:rFonts w:ascii="Arial" w:hAnsi="Arial"/>
        </w:rPr>
        <w:t>.</w:t>
      </w:r>
    </w:p>
    <w:p w14:paraId="69067CD5" w14:textId="01C90661" w:rsidR="00AC767B" w:rsidRPr="00791ECC" w:rsidRDefault="00DF3C35" w:rsidP="00BB035F">
      <w:pPr>
        <w:numPr>
          <w:ilvl w:val="2"/>
          <w:numId w:val="35"/>
        </w:numPr>
        <w:ind w:left="1800"/>
        <w:rPr>
          <w:rFonts w:ascii="Arial" w:hAnsi="Arial" w:cs="Arial"/>
        </w:rPr>
      </w:pPr>
      <w:r>
        <w:rPr>
          <w:rFonts w:ascii="Arial" w:hAnsi="Arial" w:cs="Arial"/>
        </w:rPr>
        <w:t>The program will notify the Director of Graduate Medical Education regarding all academic actions to be imposed.</w:t>
      </w:r>
    </w:p>
    <w:p w14:paraId="4CD90EE4" w14:textId="36DE996E" w:rsidR="00DF3C35" w:rsidRPr="007E13F5" w:rsidRDefault="00DF3C35" w:rsidP="00BB035F">
      <w:pPr>
        <w:numPr>
          <w:ilvl w:val="2"/>
          <w:numId w:val="35"/>
        </w:numPr>
        <w:ind w:left="1800"/>
        <w:rPr>
          <w:rFonts w:ascii="Arial" w:hAnsi="Arial" w:cs="Arial"/>
        </w:rPr>
      </w:pPr>
      <w:r w:rsidRPr="00AC767B">
        <w:rPr>
          <w:rFonts w:ascii="Arial" w:hAnsi="Arial" w:cs="Arial"/>
        </w:rPr>
        <w:t xml:space="preserve">In addition to the dispute resolution methods discussed in </w:t>
      </w:r>
      <w:r w:rsidR="00250C47" w:rsidRPr="00AC767B">
        <w:rPr>
          <w:rFonts w:ascii="Arial" w:hAnsi="Arial" w:cs="Arial"/>
        </w:rPr>
        <w:t xml:space="preserve">Section </w:t>
      </w:r>
      <w:r w:rsidR="00250C47" w:rsidRPr="009E5124">
        <w:rPr>
          <w:rFonts w:ascii="Arial" w:hAnsi="Arial" w:cs="Arial"/>
        </w:rPr>
        <w:t xml:space="preserve">IV of this </w:t>
      </w:r>
      <w:r w:rsidRPr="009E5124">
        <w:rPr>
          <w:rFonts w:ascii="Arial" w:hAnsi="Arial" w:cs="Arial"/>
        </w:rPr>
        <w:t xml:space="preserve">policy, the resident may provide a written response to </w:t>
      </w:r>
      <w:r w:rsidR="000569CD" w:rsidRPr="009E5124">
        <w:rPr>
          <w:rFonts w:ascii="Arial" w:hAnsi="Arial" w:cs="Arial"/>
        </w:rPr>
        <w:t>a</w:t>
      </w:r>
      <w:r w:rsidRPr="009E5124">
        <w:rPr>
          <w:rFonts w:ascii="Arial" w:hAnsi="Arial" w:cs="Arial"/>
        </w:rPr>
        <w:t xml:space="preserve"> letter imposing academic action.  Should the resident so choose, </w:t>
      </w:r>
      <w:r w:rsidR="002767F2">
        <w:rPr>
          <w:rFonts w:ascii="Arial" w:hAnsi="Arial" w:cs="Arial"/>
        </w:rPr>
        <w:t>he/she</w:t>
      </w:r>
      <w:r w:rsidRPr="009E5124">
        <w:rPr>
          <w:rFonts w:ascii="Arial" w:hAnsi="Arial" w:cs="Arial"/>
        </w:rPr>
        <w:t xml:space="preserve"> must submit such a written response within five (5) business days of receipt of </w:t>
      </w:r>
      <w:r w:rsidR="002767F2">
        <w:rPr>
          <w:rFonts w:ascii="Arial" w:hAnsi="Arial" w:cs="Arial"/>
        </w:rPr>
        <w:t xml:space="preserve">the </w:t>
      </w:r>
      <w:r w:rsidRPr="009E5124">
        <w:rPr>
          <w:rFonts w:ascii="Arial" w:hAnsi="Arial" w:cs="Arial"/>
        </w:rPr>
        <w:t>written notification of academic action.  The resident’s response will be placed in</w:t>
      </w:r>
      <w:r w:rsidR="00FB532C">
        <w:rPr>
          <w:rFonts w:ascii="Arial" w:hAnsi="Arial" w:cs="Arial"/>
        </w:rPr>
        <w:t xml:space="preserve"> </w:t>
      </w:r>
      <w:r w:rsidR="002767F2">
        <w:rPr>
          <w:rFonts w:ascii="Arial" w:hAnsi="Arial" w:cs="Arial"/>
        </w:rPr>
        <w:t>his/her</w:t>
      </w:r>
      <w:r w:rsidR="002767F2" w:rsidRPr="009E5124">
        <w:rPr>
          <w:rFonts w:ascii="Arial" w:hAnsi="Arial" w:cs="Arial"/>
        </w:rPr>
        <w:t xml:space="preserve"> </w:t>
      </w:r>
      <w:r w:rsidRPr="009E5124">
        <w:rPr>
          <w:rFonts w:ascii="Arial" w:hAnsi="Arial" w:cs="Arial"/>
        </w:rPr>
        <w:t>file along with the w</w:t>
      </w:r>
      <w:r w:rsidRPr="007E13F5">
        <w:rPr>
          <w:rFonts w:ascii="Arial" w:hAnsi="Arial" w:cs="Arial"/>
        </w:rPr>
        <w:t xml:space="preserve">ritten notice of academic action.    </w:t>
      </w:r>
    </w:p>
    <w:p w14:paraId="3E1D2F33" w14:textId="77777777" w:rsidR="00DF3C35" w:rsidRPr="00791ECC" w:rsidRDefault="00DF3C35" w:rsidP="00254F2E">
      <w:pPr>
        <w:ind w:left="1440" w:hanging="360"/>
        <w:rPr>
          <w:rFonts w:ascii="Arial" w:hAnsi="Arial" w:cs="Arial"/>
        </w:rPr>
      </w:pPr>
    </w:p>
    <w:p w14:paraId="00A8805D" w14:textId="77777777" w:rsidR="00DF3C35" w:rsidRPr="00791ECC" w:rsidRDefault="00DF3C35" w:rsidP="00BB035F">
      <w:pPr>
        <w:numPr>
          <w:ilvl w:val="0"/>
          <w:numId w:val="28"/>
        </w:numPr>
        <w:ind w:left="1080"/>
        <w:rPr>
          <w:rFonts w:ascii="Arial" w:hAnsi="Arial" w:cs="Arial"/>
        </w:rPr>
      </w:pPr>
      <w:r w:rsidRPr="00BB035F">
        <w:rPr>
          <w:rFonts w:ascii="Arial" w:hAnsi="Arial" w:cs="Arial"/>
          <w:b/>
        </w:rPr>
        <w:t>Non-Renewal of Contract</w:t>
      </w:r>
      <w:r w:rsidRPr="00791ECC">
        <w:rPr>
          <w:rFonts w:ascii="Arial" w:hAnsi="Arial" w:cs="Arial"/>
        </w:rPr>
        <w:t>.</w:t>
      </w:r>
    </w:p>
    <w:p w14:paraId="5B51122D" w14:textId="480C0DAA" w:rsidR="00DF3C35" w:rsidRPr="00791ECC" w:rsidRDefault="009E5124" w:rsidP="00BB035F">
      <w:pPr>
        <w:numPr>
          <w:ilvl w:val="2"/>
          <w:numId w:val="36"/>
        </w:numPr>
        <w:spacing w:before="120"/>
        <w:ind w:left="1800"/>
        <w:rPr>
          <w:rFonts w:ascii="Arial" w:hAnsi="Arial" w:cs="Arial"/>
        </w:rPr>
      </w:pPr>
      <w:r>
        <w:rPr>
          <w:rFonts w:ascii="Arial" w:hAnsi="Arial" w:cs="Arial"/>
        </w:rPr>
        <w:t>The</w:t>
      </w:r>
      <w:r w:rsidR="00DF3C35" w:rsidRPr="00791ECC">
        <w:rPr>
          <w:rFonts w:ascii="Arial" w:hAnsi="Arial" w:cs="Arial"/>
        </w:rPr>
        <w:t xml:space="preserve"> </w:t>
      </w:r>
      <w:r w:rsidR="00F5433F">
        <w:rPr>
          <w:rFonts w:ascii="Arial" w:hAnsi="Arial" w:cs="Arial"/>
        </w:rPr>
        <w:t>House Staff</w:t>
      </w:r>
      <w:r w:rsidR="00DF3C35" w:rsidRPr="00791ECC">
        <w:rPr>
          <w:rFonts w:ascii="Arial" w:hAnsi="Arial" w:cs="Arial"/>
        </w:rPr>
        <w:t xml:space="preserve"> </w:t>
      </w:r>
      <w:r w:rsidR="00DF3C35">
        <w:rPr>
          <w:rFonts w:ascii="Arial" w:hAnsi="Arial" w:cs="Arial"/>
        </w:rPr>
        <w:t>Agreement (contract)</w:t>
      </w:r>
      <w:r w:rsidR="00DF3C35" w:rsidRPr="00791ECC">
        <w:rPr>
          <w:rFonts w:ascii="Arial" w:hAnsi="Arial" w:cs="Arial"/>
        </w:rPr>
        <w:t xml:space="preserve"> does not establish any right of expectancy that the contract will be renewed for a subsequent year.</w:t>
      </w:r>
    </w:p>
    <w:p w14:paraId="50333080" w14:textId="77777777" w:rsidR="00DF3C35" w:rsidRPr="00791ECC" w:rsidRDefault="00DF3C35" w:rsidP="00BB035F">
      <w:pPr>
        <w:numPr>
          <w:ilvl w:val="2"/>
          <w:numId w:val="36"/>
        </w:numPr>
        <w:ind w:left="1800"/>
        <w:rPr>
          <w:rFonts w:ascii="Arial" w:hAnsi="Arial" w:cs="Arial"/>
        </w:rPr>
      </w:pPr>
      <w:r w:rsidRPr="00791ECC">
        <w:rPr>
          <w:rFonts w:ascii="Arial" w:hAnsi="Arial" w:cs="Arial"/>
        </w:rPr>
        <w:t xml:space="preserve">There is no requirement that an academic action must have been imposed prior to non-renewal of contract.  </w:t>
      </w:r>
    </w:p>
    <w:p w14:paraId="56D86FDF" w14:textId="11751C09" w:rsidR="00DF3C35" w:rsidRPr="00791ECC" w:rsidRDefault="00DF3C35" w:rsidP="00BB035F">
      <w:pPr>
        <w:numPr>
          <w:ilvl w:val="2"/>
          <w:numId w:val="36"/>
        </w:numPr>
        <w:ind w:left="1800"/>
        <w:rPr>
          <w:rFonts w:ascii="Arial" w:hAnsi="Arial" w:cs="Arial"/>
        </w:rPr>
      </w:pPr>
      <w:r w:rsidRPr="00791ECC">
        <w:rPr>
          <w:rFonts w:ascii="Arial" w:hAnsi="Arial" w:cs="Arial"/>
        </w:rPr>
        <w:t xml:space="preserve">In cases of </w:t>
      </w:r>
      <w:r>
        <w:rPr>
          <w:rFonts w:ascii="Arial" w:hAnsi="Arial" w:cs="Arial"/>
        </w:rPr>
        <w:t xml:space="preserve">contract </w:t>
      </w:r>
      <w:r w:rsidRPr="00791ECC">
        <w:rPr>
          <w:rFonts w:ascii="Arial" w:hAnsi="Arial" w:cs="Arial"/>
        </w:rPr>
        <w:t xml:space="preserve">non-renewal, the program must provide the resident with a written notice of intent not to renew </w:t>
      </w:r>
      <w:r w:rsidR="007E13F5">
        <w:rPr>
          <w:rFonts w:ascii="Arial" w:hAnsi="Arial" w:cs="Arial"/>
        </w:rPr>
        <w:t>the</w:t>
      </w:r>
      <w:r w:rsidRPr="00791ECC">
        <w:rPr>
          <w:rFonts w:ascii="Arial" w:hAnsi="Arial" w:cs="Arial"/>
        </w:rPr>
        <w:t xml:space="preserve"> resident’s contract no later than four months prior to the end of the resident’s current contract.  However, if the primary reason(s) for the non-renewal occur</w:t>
      </w:r>
      <w:r w:rsidR="007E13F5">
        <w:rPr>
          <w:rFonts w:ascii="Arial" w:hAnsi="Arial" w:cs="Arial"/>
        </w:rPr>
        <w:t>(</w:t>
      </w:r>
      <w:r w:rsidRPr="00791ECC">
        <w:rPr>
          <w:rFonts w:ascii="Arial" w:hAnsi="Arial" w:cs="Arial"/>
        </w:rPr>
        <w:t>s</w:t>
      </w:r>
      <w:r w:rsidR="007E13F5">
        <w:rPr>
          <w:rFonts w:ascii="Arial" w:hAnsi="Arial" w:cs="Arial"/>
        </w:rPr>
        <w:t>)</w:t>
      </w:r>
      <w:r w:rsidRPr="00791ECC">
        <w:rPr>
          <w:rFonts w:ascii="Arial" w:hAnsi="Arial" w:cs="Arial"/>
        </w:rPr>
        <w:t xml:space="preserve"> within the four months prior to the end of the contract, the program must provide the resident with as much written notice of the intent not to renew as the circumstances will reasonably allow, prior to the end of the contract.  </w:t>
      </w:r>
    </w:p>
    <w:p w14:paraId="2577868A" w14:textId="77777777" w:rsidR="00DF3C35" w:rsidRPr="00791ECC" w:rsidRDefault="00DF3C35" w:rsidP="00DF2458">
      <w:pPr>
        <w:numPr>
          <w:ilvl w:val="0"/>
          <w:numId w:val="2"/>
        </w:numPr>
        <w:tabs>
          <w:tab w:val="clear" w:pos="1080"/>
          <w:tab w:val="num" w:pos="540"/>
        </w:tabs>
        <w:spacing w:before="240"/>
        <w:ind w:left="547" w:hanging="547"/>
        <w:rPr>
          <w:rFonts w:ascii="Arial" w:hAnsi="Arial" w:cs="Arial"/>
          <w:b/>
        </w:rPr>
      </w:pPr>
      <w:r w:rsidRPr="00791ECC">
        <w:rPr>
          <w:rFonts w:ascii="Arial" w:hAnsi="Arial" w:cs="Arial"/>
          <w:b/>
        </w:rPr>
        <w:t>DISPUTE RESOLUTION</w:t>
      </w:r>
    </w:p>
    <w:p w14:paraId="75712662" w14:textId="29D3FDCB" w:rsidR="00DF3C35" w:rsidRPr="00791ECC" w:rsidRDefault="00DF3C35" w:rsidP="00BB035F">
      <w:pPr>
        <w:numPr>
          <w:ilvl w:val="1"/>
          <w:numId w:val="2"/>
        </w:numPr>
        <w:spacing w:before="120"/>
        <w:ind w:left="1080"/>
        <w:rPr>
          <w:rFonts w:ascii="Arial" w:hAnsi="Arial" w:cs="Arial"/>
        </w:rPr>
      </w:pPr>
      <w:r w:rsidRPr="00BB035F">
        <w:rPr>
          <w:rFonts w:ascii="Arial" w:hAnsi="Arial" w:cs="Arial"/>
          <w:b/>
        </w:rPr>
        <w:t>Informal Resolution</w:t>
      </w:r>
      <w:r w:rsidRPr="00791ECC">
        <w:rPr>
          <w:rFonts w:ascii="Arial" w:hAnsi="Arial" w:cs="Arial"/>
        </w:rPr>
        <w:t xml:space="preserve">:  The interests of the University of </w:t>
      </w:r>
      <w:r w:rsidR="000C2433">
        <w:rPr>
          <w:rFonts w:ascii="Arial" w:hAnsi="Arial" w:cs="Arial"/>
        </w:rPr>
        <w:t>XXX</w:t>
      </w:r>
      <w:r w:rsidRPr="00791ECC">
        <w:rPr>
          <w:rFonts w:ascii="Arial" w:hAnsi="Arial" w:cs="Arial"/>
        </w:rPr>
        <w:t xml:space="preserve">, the School of Medicine, the various Graduate Medical Education programs, and the </w:t>
      </w:r>
      <w:r w:rsidRPr="00791ECC">
        <w:rPr>
          <w:rFonts w:ascii="Arial" w:hAnsi="Arial" w:cs="Arial"/>
        </w:rPr>
        <w:lastRenderedPageBreak/>
        <w:t xml:space="preserve">residents are best served when problems are resolved as part of the regular communication between the resident and the </w:t>
      </w:r>
      <w:r>
        <w:rPr>
          <w:rFonts w:ascii="Arial" w:hAnsi="Arial" w:cs="Arial"/>
        </w:rPr>
        <w:t>P</w:t>
      </w:r>
      <w:r w:rsidRPr="00791ECC">
        <w:rPr>
          <w:rFonts w:ascii="Arial" w:hAnsi="Arial" w:cs="Arial"/>
        </w:rPr>
        <w:t xml:space="preserve">rogram </w:t>
      </w:r>
      <w:r>
        <w:rPr>
          <w:rFonts w:ascii="Arial" w:hAnsi="Arial" w:cs="Arial"/>
        </w:rPr>
        <w:t>D</w:t>
      </w:r>
      <w:r w:rsidRPr="00791ECC">
        <w:rPr>
          <w:rFonts w:ascii="Arial" w:hAnsi="Arial" w:cs="Arial"/>
        </w:rPr>
        <w:t xml:space="preserve">irector, Division Chief, Department Chair, and/or GME Director, as appropriate.  Residents should first attempt to resolve any disputes concerning academic actions through informal discussions with appropriate individuals within the residency program.  If informal discussions are not successful in resolving disputes, the resident may appeal the academic action according to the following procedures. </w:t>
      </w:r>
    </w:p>
    <w:p w14:paraId="10DA7E08" w14:textId="77777777" w:rsidR="00DF3C35" w:rsidRPr="00791ECC" w:rsidRDefault="00DF3C35" w:rsidP="00DF3C35">
      <w:pPr>
        <w:ind w:left="1080"/>
        <w:rPr>
          <w:rFonts w:ascii="Arial" w:hAnsi="Arial" w:cs="Arial"/>
        </w:rPr>
      </w:pPr>
    </w:p>
    <w:p w14:paraId="2921B945" w14:textId="77777777" w:rsidR="00DF3C35" w:rsidRPr="00791ECC" w:rsidRDefault="00DF3C35" w:rsidP="00D52203">
      <w:pPr>
        <w:numPr>
          <w:ilvl w:val="1"/>
          <w:numId w:val="2"/>
        </w:numPr>
        <w:ind w:left="1080"/>
        <w:rPr>
          <w:rFonts w:ascii="Arial" w:hAnsi="Arial" w:cs="Arial"/>
        </w:rPr>
      </w:pPr>
      <w:r w:rsidRPr="00BB035F">
        <w:rPr>
          <w:rFonts w:ascii="Arial" w:hAnsi="Arial" w:cs="Arial"/>
          <w:b/>
        </w:rPr>
        <w:t>Applicability of Formal Dispute Resolution Processes</w:t>
      </w:r>
      <w:r w:rsidRPr="00791ECC">
        <w:rPr>
          <w:rFonts w:ascii="Arial" w:hAnsi="Arial" w:cs="Arial"/>
        </w:rPr>
        <w:t>:  The formal dispute resolution processes described below apply only when a specific academic action has occurred that the resident views as being unfair or improper, and when this specific academic action has a direct and adverse effect upon the resident.  These processes do not apply to:</w:t>
      </w:r>
    </w:p>
    <w:p w14:paraId="0DCD6708" w14:textId="77777777" w:rsidR="00DF3C35" w:rsidRPr="00791ECC" w:rsidRDefault="00DF3C35" w:rsidP="00BB035F">
      <w:pPr>
        <w:numPr>
          <w:ilvl w:val="2"/>
          <w:numId w:val="38"/>
        </w:numPr>
        <w:spacing w:before="120"/>
        <w:ind w:left="1800"/>
        <w:rPr>
          <w:rFonts w:ascii="Arial" w:hAnsi="Arial" w:cs="Arial"/>
        </w:rPr>
      </w:pPr>
      <w:r>
        <w:rPr>
          <w:rFonts w:ascii="Arial" w:hAnsi="Arial" w:cs="Arial"/>
        </w:rPr>
        <w:t>C</w:t>
      </w:r>
      <w:r w:rsidRPr="00791ECC">
        <w:rPr>
          <w:rFonts w:ascii="Arial" w:hAnsi="Arial" w:cs="Arial"/>
        </w:rPr>
        <w:t>laims that University, GME, or program policies or procedures are unfair generally;</w:t>
      </w:r>
    </w:p>
    <w:p w14:paraId="1BF66504" w14:textId="44BC0C91" w:rsidR="00DF3C35" w:rsidRPr="00791ECC" w:rsidRDefault="00DF3C35" w:rsidP="00BB035F">
      <w:pPr>
        <w:numPr>
          <w:ilvl w:val="2"/>
          <w:numId w:val="38"/>
        </w:numPr>
        <w:ind w:left="1800"/>
        <w:rPr>
          <w:rFonts w:ascii="Arial" w:hAnsi="Arial" w:cs="Arial"/>
        </w:rPr>
      </w:pPr>
      <w:r>
        <w:rPr>
          <w:rFonts w:ascii="Arial" w:hAnsi="Arial" w:cs="Arial"/>
        </w:rPr>
        <w:t>C</w:t>
      </w:r>
      <w:r w:rsidRPr="00791ECC">
        <w:rPr>
          <w:rFonts w:ascii="Arial" w:hAnsi="Arial" w:cs="Arial"/>
        </w:rPr>
        <w:t xml:space="preserve">omplaints involving discrimination or harassment on the basis of race, color, sex, age, religion, sexual orientation, national origin, ethnic origin, disability, or veteran status; these complaints are to be referred to the University of </w:t>
      </w:r>
      <w:r w:rsidR="000C2433">
        <w:rPr>
          <w:rFonts w:ascii="Arial" w:hAnsi="Arial" w:cs="Arial"/>
        </w:rPr>
        <w:t>XXX</w:t>
      </w:r>
      <w:r w:rsidR="000C2433" w:rsidRPr="00791ECC">
        <w:rPr>
          <w:rFonts w:ascii="Arial" w:hAnsi="Arial" w:cs="Arial"/>
        </w:rPr>
        <w:t xml:space="preserve"> </w:t>
      </w:r>
      <w:r w:rsidRPr="00791ECC">
        <w:rPr>
          <w:rFonts w:ascii="Arial" w:hAnsi="Arial" w:cs="Arial"/>
        </w:rPr>
        <w:t>Office of Equal Opportunity and Affirmative Action</w:t>
      </w:r>
      <w:r w:rsidR="003A423B">
        <w:rPr>
          <w:rFonts w:ascii="Arial" w:hAnsi="Arial" w:cs="Arial"/>
        </w:rPr>
        <w:t xml:space="preserve"> (OEO/AA)</w:t>
      </w:r>
      <w:r w:rsidRPr="00791ECC">
        <w:rPr>
          <w:rFonts w:ascii="Arial" w:hAnsi="Arial" w:cs="Arial"/>
        </w:rPr>
        <w:t>;</w:t>
      </w:r>
    </w:p>
    <w:p w14:paraId="568E0C64" w14:textId="77777777" w:rsidR="00DF3C35" w:rsidRPr="00791ECC" w:rsidRDefault="00DF3C35" w:rsidP="00BB035F">
      <w:pPr>
        <w:numPr>
          <w:ilvl w:val="2"/>
          <w:numId w:val="38"/>
        </w:numPr>
        <w:ind w:left="1800"/>
        <w:rPr>
          <w:rFonts w:ascii="Arial" w:hAnsi="Arial" w:cs="Arial"/>
        </w:rPr>
      </w:pPr>
      <w:r>
        <w:rPr>
          <w:rFonts w:ascii="Arial" w:hAnsi="Arial" w:cs="Arial"/>
        </w:rPr>
        <w:t>C</w:t>
      </w:r>
      <w:r w:rsidRPr="00791ECC">
        <w:rPr>
          <w:rFonts w:ascii="Arial" w:hAnsi="Arial" w:cs="Arial"/>
        </w:rPr>
        <w:t>omplaints pertaining to general levels of salary, fringe benefits, or other broad areas of financial management and staffing; and</w:t>
      </w:r>
    </w:p>
    <w:p w14:paraId="227E2C2D" w14:textId="77777777" w:rsidR="00DF3C35" w:rsidRPr="00791ECC" w:rsidRDefault="00DF3C35" w:rsidP="00BB035F">
      <w:pPr>
        <w:numPr>
          <w:ilvl w:val="2"/>
          <w:numId w:val="38"/>
        </w:numPr>
        <w:ind w:left="1800"/>
        <w:rPr>
          <w:rFonts w:ascii="Arial" w:hAnsi="Arial" w:cs="Arial"/>
        </w:rPr>
      </w:pPr>
      <w:r>
        <w:rPr>
          <w:rFonts w:ascii="Arial" w:hAnsi="Arial" w:cs="Arial"/>
        </w:rPr>
        <w:t>D</w:t>
      </w:r>
      <w:r w:rsidRPr="00791ECC">
        <w:rPr>
          <w:rFonts w:ascii="Arial" w:hAnsi="Arial" w:cs="Arial"/>
        </w:rPr>
        <w:t>isputes that are personal in nature and do not involve the grievant’s duties as a resident.</w:t>
      </w:r>
    </w:p>
    <w:p w14:paraId="5D7177A3" w14:textId="77777777" w:rsidR="00DF3C35" w:rsidRPr="00791ECC" w:rsidRDefault="00DF3C35" w:rsidP="00857D6A">
      <w:pPr>
        <w:ind w:left="1980"/>
        <w:rPr>
          <w:rFonts w:ascii="Arial" w:hAnsi="Arial" w:cs="Arial"/>
        </w:rPr>
      </w:pPr>
    </w:p>
    <w:p w14:paraId="4F8E3AE3" w14:textId="77777777" w:rsidR="00DF3C35" w:rsidRPr="00791ECC" w:rsidRDefault="00DF3C35" w:rsidP="00BB035F">
      <w:pPr>
        <w:numPr>
          <w:ilvl w:val="1"/>
          <w:numId w:val="2"/>
        </w:numPr>
        <w:ind w:left="1080"/>
        <w:rPr>
          <w:rFonts w:ascii="Arial" w:hAnsi="Arial" w:cs="Arial"/>
        </w:rPr>
      </w:pPr>
      <w:r w:rsidRPr="00BB035F">
        <w:rPr>
          <w:rFonts w:ascii="Arial" w:hAnsi="Arial" w:cs="Arial"/>
          <w:b/>
        </w:rPr>
        <w:t>Appeals to Program Director, and Division Chief or Department Chair</w:t>
      </w:r>
      <w:r w:rsidRPr="00791ECC">
        <w:rPr>
          <w:rFonts w:ascii="Arial" w:hAnsi="Arial" w:cs="Arial"/>
        </w:rPr>
        <w:t xml:space="preserve">.  </w:t>
      </w:r>
    </w:p>
    <w:p w14:paraId="1E7604B0" w14:textId="77777777" w:rsidR="00DF3C35" w:rsidRPr="00791ECC" w:rsidRDefault="00DF3C35" w:rsidP="00BB035F">
      <w:pPr>
        <w:numPr>
          <w:ilvl w:val="2"/>
          <w:numId w:val="43"/>
        </w:numPr>
        <w:spacing w:before="120"/>
        <w:ind w:left="1800"/>
        <w:rPr>
          <w:rFonts w:ascii="Arial" w:hAnsi="Arial" w:cs="Arial"/>
        </w:rPr>
      </w:pPr>
      <w:r w:rsidRPr="00791ECC">
        <w:rPr>
          <w:rFonts w:ascii="Arial" w:hAnsi="Arial" w:cs="Arial"/>
        </w:rPr>
        <w:t xml:space="preserve">Applicability:  Appeals of academic actions not involving suspension, termination, probation, or non-advancement (including non-renewal of contract) are resolved by the </w:t>
      </w:r>
      <w:r>
        <w:rPr>
          <w:rFonts w:ascii="Arial" w:hAnsi="Arial" w:cs="Arial"/>
        </w:rPr>
        <w:t>P</w:t>
      </w:r>
      <w:r w:rsidRPr="00791ECC">
        <w:rPr>
          <w:rFonts w:ascii="Arial" w:hAnsi="Arial" w:cs="Arial"/>
        </w:rPr>
        <w:t xml:space="preserve">rogram </w:t>
      </w:r>
      <w:r>
        <w:rPr>
          <w:rFonts w:ascii="Arial" w:hAnsi="Arial" w:cs="Arial"/>
        </w:rPr>
        <w:t>D</w:t>
      </w:r>
      <w:r w:rsidRPr="00791ECC">
        <w:rPr>
          <w:rFonts w:ascii="Arial" w:hAnsi="Arial" w:cs="Arial"/>
        </w:rPr>
        <w:t xml:space="preserve">irector, and as applicable by the relevant Division Chief or Department Chair.  Thus, disputes involving actions such as corrective action letters, letters of warning, letters of expectation, verbal or written reprimands, letters of admonishment, evaluations (whether written or verbal), final evaluation letters, letters of reference, academic verification letters, placement on special programs, or imposition of new contractual conditions are resolved with the </w:t>
      </w:r>
      <w:r>
        <w:rPr>
          <w:rFonts w:ascii="Arial" w:hAnsi="Arial" w:cs="Arial"/>
        </w:rPr>
        <w:t>P</w:t>
      </w:r>
      <w:r w:rsidRPr="00791ECC">
        <w:rPr>
          <w:rFonts w:ascii="Arial" w:hAnsi="Arial" w:cs="Arial"/>
        </w:rPr>
        <w:t xml:space="preserve">rogram </w:t>
      </w:r>
      <w:r>
        <w:rPr>
          <w:rFonts w:ascii="Arial" w:hAnsi="Arial" w:cs="Arial"/>
        </w:rPr>
        <w:t>D</w:t>
      </w:r>
      <w:r w:rsidRPr="00791ECC">
        <w:rPr>
          <w:rFonts w:ascii="Arial" w:hAnsi="Arial" w:cs="Arial"/>
        </w:rPr>
        <w:t>irector, and as applicable with the Division Chief or Department Chair, and not through the Resident Review Committee process described above.</w:t>
      </w:r>
    </w:p>
    <w:p w14:paraId="309E8ED5" w14:textId="77777777" w:rsidR="00DF3C35" w:rsidRPr="00791ECC" w:rsidRDefault="00DF3C35" w:rsidP="00DF3C35">
      <w:pPr>
        <w:ind w:left="1980"/>
        <w:rPr>
          <w:rFonts w:ascii="Arial" w:hAnsi="Arial" w:cs="Arial"/>
        </w:rPr>
      </w:pPr>
    </w:p>
    <w:p w14:paraId="4DDA5260" w14:textId="77777777" w:rsidR="00DF3C35" w:rsidRPr="00791ECC" w:rsidRDefault="00DF3C35" w:rsidP="00BB035F">
      <w:pPr>
        <w:numPr>
          <w:ilvl w:val="2"/>
          <w:numId w:val="43"/>
        </w:numPr>
        <w:ind w:left="1800"/>
        <w:rPr>
          <w:rFonts w:ascii="Arial" w:hAnsi="Arial" w:cs="Arial"/>
        </w:rPr>
      </w:pPr>
      <w:r w:rsidRPr="00791ECC">
        <w:rPr>
          <w:rFonts w:ascii="Arial" w:hAnsi="Arial" w:cs="Arial"/>
        </w:rPr>
        <w:t>Discussion with Program Director or Designee.</w:t>
      </w:r>
    </w:p>
    <w:p w14:paraId="4B971447" w14:textId="77777777" w:rsidR="00DF3C35" w:rsidRPr="00791ECC" w:rsidRDefault="00DF3C35" w:rsidP="00A3709B">
      <w:pPr>
        <w:numPr>
          <w:ilvl w:val="3"/>
          <w:numId w:val="47"/>
        </w:numPr>
        <w:spacing w:before="120"/>
        <w:ind w:left="2340"/>
        <w:rPr>
          <w:rFonts w:ascii="Arial" w:hAnsi="Arial" w:cs="Arial"/>
        </w:rPr>
      </w:pPr>
      <w:r w:rsidRPr="00791ECC">
        <w:rPr>
          <w:rFonts w:ascii="Arial" w:hAnsi="Arial" w:cs="Arial"/>
        </w:rPr>
        <w:t xml:space="preserve">Residents who feel that an academic action is unfair and who have been unable to resolve the problem through informal discussion shall, within seven (7) business days after the resident’s receipt of notification of academic action, submit to the </w:t>
      </w:r>
      <w:r>
        <w:rPr>
          <w:rFonts w:ascii="Arial" w:hAnsi="Arial" w:cs="Arial"/>
        </w:rPr>
        <w:lastRenderedPageBreak/>
        <w:t>Program Director</w:t>
      </w:r>
      <w:r w:rsidRPr="00791ECC">
        <w:rPr>
          <w:rFonts w:ascii="Arial" w:hAnsi="Arial" w:cs="Arial"/>
        </w:rPr>
        <w:t xml:space="preserve"> a formal written appeal of the academic action.  The resident may submit written materials to the </w:t>
      </w:r>
      <w:r>
        <w:rPr>
          <w:rFonts w:ascii="Arial" w:hAnsi="Arial" w:cs="Arial"/>
        </w:rPr>
        <w:t>Program Director</w:t>
      </w:r>
      <w:r w:rsidRPr="00791ECC">
        <w:rPr>
          <w:rFonts w:ascii="Arial" w:hAnsi="Arial" w:cs="Arial"/>
        </w:rPr>
        <w:t xml:space="preserve"> in support of the resident’s appeal.  If the resident does not file a written appeal within this time frame, the resident will have waived the right to dispute the academic action.</w:t>
      </w:r>
    </w:p>
    <w:p w14:paraId="7DF1B4BE" w14:textId="14D89B7B" w:rsidR="00DF3C35" w:rsidRPr="00791ECC" w:rsidRDefault="00DF3C35" w:rsidP="00A3709B">
      <w:pPr>
        <w:numPr>
          <w:ilvl w:val="3"/>
          <w:numId w:val="47"/>
        </w:numPr>
        <w:spacing w:before="120"/>
        <w:ind w:left="2340"/>
        <w:rPr>
          <w:rFonts w:ascii="Arial" w:hAnsi="Arial" w:cs="Arial"/>
        </w:rPr>
      </w:pPr>
      <w:r w:rsidRPr="00791ECC">
        <w:rPr>
          <w:rFonts w:ascii="Arial" w:hAnsi="Arial" w:cs="Arial"/>
        </w:rPr>
        <w:t xml:space="preserve">The </w:t>
      </w:r>
      <w:r>
        <w:rPr>
          <w:rFonts w:ascii="Arial" w:hAnsi="Arial" w:cs="Arial"/>
        </w:rPr>
        <w:t>Program Director</w:t>
      </w:r>
      <w:r w:rsidRPr="00791ECC">
        <w:rPr>
          <w:rFonts w:ascii="Arial" w:hAnsi="Arial" w:cs="Arial"/>
        </w:rPr>
        <w:t xml:space="preserve"> or designee will respond in writing to the resident’s claim within fifteen (15) business days.  </w:t>
      </w:r>
    </w:p>
    <w:p w14:paraId="3CAFCBC5" w14:textId="2740D161" w:rsidR="00DF3C35" w:rsidRPr="00791ECC" w:rsidRDefault="00DF3C35" w:rsidP="00A3709B">
      <w:pPr>
        <w:numPr>
          <w:ilvl w:val="3"/>
          <w:numId w:val="47"/>
        </w:numPr>
        <w:spacing w:before="120"/>
        <w:ind w:left="2340"/>
        <w:rPr>
          <w:rFonts w:ascii="Arial" w:hAnsi="Arial" w:cs="Arial"/>
        </w:rPr>
      </w:pPr>
      <w:r w:rsidRPr="00791ECC">
        <w:rPr>
          <w:rFonts w:ascii="Arial" w:hAnsi="Arial" w:cs="Arial"/>
        </w:rPr>
        <w:t xml:space="preserve">The </w:t>
      </w:r>
      <w:r w:rsidR="00DF2BB0">
        <w:rPr>
          <w:rFonts w:ascii="Arial" w:hAnsi="Arial" w:cs="Arial"/>
        </w:rPr>
        <w:t xml:space="preserve">decision of the </w:t>
      </w:r>
      <w:r>
        <w:rPr>
          <w:rFonts w:ascii="Arial" w:hAnsi="Arial" w:cs="Arial"/>
        </w:rPr>
        <w:t>Program Director</w:t>
      </w:r>
      <w:r w:rsidRPr="00791ECC">
        <w:rPr>
          <w:rFonts w:ascii="Arial" w:hAnsi="Arial" w:cs="Arial"/>
        </w:rPr>
        <w:t xml:space="preserve"> or designee is final unless the resident submits a written appeal to the Division Chief or designee within five (5) business days of the resident’s receipt of the written response from the </w:t>
      </w:r>
      <w:r>
        <w:rPr>
          <w:rFonts w:ascii="Arial" w:hAnsi="Arial" w:cs="Arial"/>
        </w:rPr>
        <w:t>Program Director</w:t>
      </w:r>
      <w:r w:rsidRPr="00791ECC">
        <w:rPr>
          <w:rFonts w:ascii="Arial" w:hAnsi="Arial" w:cs="Arial"/>
        </w:rPr>
        <w:t xml:space="preserve"> or designee.  </w:t>
      </w:r>
    </w:p>
    <w:p w14:paraId="3F290A06" w14:textId="77777777" w:rsidR="00DF3C35" w:rsidRPr="00791ECC" w:rsidRDefault="00DF3C35" w:rsidP="00DF3C35">
      <w:pPr>
        <w:ind w:left="2520"/>
        <w:rPr>
          <w:rFonts w:ascii="Arial" w:hAnsi="Arial" w:cs="Arial"/>
        </w:rPr>
      </w:pPr>
    </w:p>
    <w:p w14:paraId="247270A2" w14:textId="20C6B5FF" w:rsidR="00DF3C35" w:rsidRPr="00791ECC" w:rsidRDefault="00DF3C35" w:rsidP="00BB035F">
      <w:pPr>
        <w:numPr>
          <w:ilvl w:val="2"/>
          <w:numId w:val="43"/>
        </w:numPr>
        <w:ind w:left="1800"/>
        <w:rPr>
          <w:rFonts w:ascii="Arial" w:hAnsi="Arial" w:cs="Arial"/>
        </w:rPr>
      </w:pPr>
      <w:r w:rsidRPr="00791ECC">
        <w:rPr>
          <w:rFonts w:ascii="Arial" w:hAnsi="Arial" w:cs="Arial"/>
        </w:rPr>
        <w:t xml:space="preserve">Appeal to </w:t>
      </w:r>
      <w:r w:rsidR="00DF2BB0">
        <w:rPr>
          <w:rFonts w:ascii="Arial" w:hAnsi="Arial" w:cs="Arial"/>
        </w:rPr>
        <w:t>Department Chair/</w:t>
      </w:r>
      <w:r w:rsidRPr="00791ECC">
        <w:rPr>
          <w:rFonts w:ascii="Arial" w:hAnsi="Arial" w:cs="Arial"/>
        </w:rPr>
        <w:t>Division Chief or Designee</w:t>
      </w:r>
      <w:r w:rsidR="00427A6E">
        <w:rPr>
          <w:rFonts w:ascii="Arial" w:hAnsi="Arial" w:cs="Arial"/>
        </w:rPr>
        <w:t>.</w:t>
      </w:r>
    </w:p>
    <w:p w14:paraId="5557B245" w14:textId="77777777" w:rsidR="00DF3C35" w:rsidRPr="00791ECC" w:rsidRDefault="00DF3C35" w:rsidP="00A3709B">
      <w:pPr>
        <w:numPr>
          <w:ilvl w:val="3"/>
          <w:numId w:val="48"/>
        </w:numPr>
        <w:spacing w:before="120"/>
        <w:ind w:left="2340"/>
        <w:rPr>
          <w:rFonts w:ascii="Arial" w:hAnsi="Arial" w:cs="Arial"/>
        </w:rPr>
      </w:pPr>
      <w:r w:rsidRPr="00791ECC">
        <w:rPr>
          <w:rFonts w:ascii="Arial" w:hAnsi="Arial" w:cs="Arial"/>
        </w:rPr>
        <w:t xml:space="preserve">As used herein, Division Chief or designee means the Division Chief or designee of the School of Medicine Division in which the program is located.  If there is no applicable Division Chief or designee, then the relevant Department Chair or designee will be substituted.  </w:t>
      </w:r>
    </w:p>
    <w:p w14:paraId="205EDC7B" w14:textId="77777777" w:rsidR="00DF3C35" w:rsidRPr="00791ECC" w:rsidRDefault="00DF3C35" w:rsidP="00A3709B">
      <w:pPr>
        <w:numPr>
          <w:ilvl w:val="3"/>
          <w:numId w:val="48"/>
        </w:numPr>
        <w:spacing w:before="120"/>
        <w:ind w:left="2340"/>
        <w:rPr>
          <w:rFonts w:ascii="Arial" w:hAnsi="Arial" w:cs="Arial"/>
        </w:rPr>
      </w:pPr>
      <w:r w:rsidRPr="00791ECC">
        <w:rPr>
          <w:rFonts w:ascii="Arial" w:hAnsi="Arial" w:cs="Arial"/>
        </w:rPr>
        <w:t xml:space="preserve">If the dispute is not resolved by appeal to the </w:t>
      </w:r>
      <w:r>
        <w:rPr>
          <w:rFonts w:ascii="Arial" w:hAnsi="Arial" w:cs="Arial"/>
        </w:rPr>
        <w:t>Program Director</w:t>
      </w:r>
      <w:r w:rsidRPr="00791ECC">
        <w:rPr>
          <w:rFonts w:ascii="Arial" w:hAnsi="Arial" w:cs="Arial"/>
        </w:rPr>
        <w:t xml:space="preserve"> or designee, the resident may file a written appeal with the Division Chief or designee.  The resident’s written appeal must contain the following elements:</w:t>
      </w:r>
    </w:p>
    <w:p w14:paraId="723D253C" w14:textId="77777777" w:rsidR="00DF3C35" w:rsidRPr="00791ECC" w:rsidRDefault="00DF3C35" w:rsidP="00A3709B">
      <w:pPr>
        <w:numPr>
          <w:ilvl w:val="0"/>
          <w:numId w:val="57"/>
        </w:numPr>
        <w:spacing w:before="120"/>
        <w:rPr>
          <w:rFonts w:ascii="Arial" w:hAnsi="Arial" w:cs="Arial"/>
        </w:rPr>
      </w:pPr>
      <w:r>
        <w:rPr>
          <w:rFonts w:ascii="Arial" w:hAnsi="Arial" w:cs="Arial"/>
        </w:rPr>
        <w:t>D</w:t>
      </w:r>
      <w:r w:rsidRPr="00791ECC">
        <w:rPr>
          <w:rFonts w:ascii="Arial" w:hAnsi="Arial" w:cs="Arial"/>
        </w:rPr>
        <w:t>escription of the matter in dispute;</w:t>
      </w:r>
    </w:p>
    <w:p w14:paraId="2ECA64BC" w14:textId="77777777" w:rsidR="00DF3C35" w:rsidRPr="00791ECC" w:rsidRDefault="00DF3C35" w:rsidP="00A3709B">
      <w:pPr>
        <w:numPr>
          <w:ilvl w:val="0"/>
          <w:numId w:val="57"/>
        </w:numPr>
        <w:rPr>
          <w:rFonts w:ascii="Arial" w:hAnsi="Arial" w:cs="Arial"/>
        </w:rPr>
      </w:pPr>
      <w:r>
        <w:rPr>
          <w:rFonts w:ascii="Arial" w:hAnsi="Arial" w:cs="Arial"/>
        </w:rPr>
        <w:t>S</w:t>
      </w:r>
      <w:r w:rsidRPr="00791ECC">
        <w:rPr>
          <w:rFonts w:ascii="Arial" w:hAnsi="Arial" w:cs="Arial"/>
        </w:rPr>
        <w:t>ummary of previous attempts at resolution; and</w:t>
      </w:r>
    </w:p>
    <w:p w14:paraId="2587568B" w14:textId="77777777" w:rsidR="00DF3C35" w:rsidRPr="00791ECC" w:rsidRDefault="00DF3C35" w:rsidP="00A3709B">
      <w:pPr>
        <w:numPr>
          <w:ilvl w:val="0"/>
          <w:numId w:val="57"/>
        </w:numPr>
        <w:rPr>
          <w:rFonts w:ascii="Arial" w:hAnsi="Arial" w:cs="Arial"/>
        </w:rPr>
      </w:pPr>
      <w:r>
        <w:rPr>
          <w:rFonts w:ascii="Arial" w:hAnsi="Arial" w:cs="Arial"/>
        </w:rPr>
        <w:t>S</w:t>
      </w:r>
      <w:r w:rsidRPr="00791ECC">
        <w:rPr>
          <w:rFonts w:ascii="Arial" w:hAnsi="Arial" w:cs="Arial"/>
        </w:rPr>
        <w:t>tatement of the requested remedy.</w:t>
      </w:r>
    </w:p>
    <w:p w14:paraId="540FC898" w14:textId="77777777" w:rsidR="00DF3C35" w:rsidRPr="00791ECC" w:rsidRDefault="00DF3C35" w:rsidP="00A3709B">
      <w:pPr>
        <w:numPr>
          <w:ilvl w:val="0"/>
          <w:numId w:val="59"/>
        </w:numPr>
        <w:spacing w:before="120"/>
        <w:ind w:left="2340"/>
        <w:rPr>
          <w:rFonts w:ascii="Arial" w:hAnsi="Arial" w:cs="Arial"/>
        </w:rPr>
      </w:pPr>
      <w:r w:rsidRPr="00791ECC">
        <w:rPr>
          <w:rFonts w:ascii="Arial" w:hAnsi="Arial" w:cs="Arial"/>
        </w:rPr>
        <w:t xml:space="preserve">The resident’s written appeal must be submitted to the Division Chief or designee within five (5) business days of the resident’s receipt of the written decision from the </w:t>
      </w:r>
      <w:r>
        <w:rPr>
          <w:rFonts w:ascii="Arial" w:hAnsi="Arial" w:cs="Arial"/>
        </w:rPr>
        <w:t>Program Director</w:t>
      </w:r>
      <w:r w:rsidRPr="00791ECC">
        <w:rPr>
          <w:rFonts w:ascii="Arial" w:hAnsi="Arial" w:cs="Arial"/>
        </w:rPr>
        <w:t xml:space="preserve">.  If the resident does not file a written appeal within this time frame, the resident will have waived the right to refer this matter to the Division Chief or designee (or to the Department Chair or designee).  </w:t>
      </w:r>
    </w:p>
    <w:p w14:paraId="7C8F4E99" w14:textId="0240BEE6" w:rsidR="00DF3C35" w:rsidRPr="00791ECC" w:rsidRDefault="00DF3C35" w:rsidP="00A3709B">
      <w:pPr>
        <w:numPr>
          <w:ilvl w:val="0"/>
          <w:numId w:val="59"/>
        </w:numPr>
        <w:spacing w:before="120"/>
        <w:ind w:left="2340"/>
        <w:rPr>
          <w:rFonts w:ascii="Arial" w:hAnsi="Arial" w:cs="Arial"/>
        </w:rPr>
      </w:pPr>
      <w:r w:rsidRPr="00791ECC">
        <w:rPr>
          <w:rFonts w:ascii="Arial" w:hAnsi="Arial" w:cs="Arial"/>
        </w:rPr>
        <w:t xml:space="preserve">The Division Chief or designee shall discuss the dispute with the resident and the appropriate individual(s) within the program or division or elsewhere in an effort to resolve the matter and will issue a written determination within fifteen (15) business days.  If the Division Chief or designee needs additional time to issue a written decision, the resident shall be notified accordingly.  In no event will there be an extension of time beyond thirty (30) business days after the Division </w:t>
      </w:r>
      <w:r w:rsidR="00427A6E" w:rsidRPr="00791ECC">
        <w:rPr>
          <w:rFonts w:ascii="Arial" w:hAnsi="Arial" w:cs="Arial"/>
        </w:rPr>
        <w:t>Chief</w:t>
      </w:r>
      <w:r w:rsidRPr="00791ECC">
        <w:rPr>
          <w:rFonts w:ascii="Arial" w:hAnsi="Arial" w:cs="Arial"/>
        </w:rPr>
        <w:t xml:space="preserve"> or designee’s receipt of the written statement of dispute.</w:t>
      </w:r>
    </w:p>
    <w:p w14:paraId="20C74C8E" w14:textId="77777777" w:rsidR="00DF3C35" w:rsidRPr="00791ECC" w:rsidRDefault="00DF3C35" w:rsidP="00A3709B">
      <w:pPr>
        <w:numPr>
          <w:ilvl w:val="0"/>
          <w:numId w:val="59"/>
        </w:numPr>
        <w:spacing w:before="120"/>
        <w:ind w:left="2340"/>
        <w:rPr>
          <w:rFonts w:ascii="Arial" w:hAnsi="Arial" w:cs="Arial"/>
        </w:rPr>
      </w:pPr>
      <w:r w:rsidRPr="00791ECC">
        <w:rPr>
          <w:rFonts w:ascii="Arial" w:hAnsi="Arial" w:cs="Arial"/>
        </w:rPr>
        <w:lastRenderedPageBreak/>
        <w:t>To overturn the original academic action, the Division Chief or designee must find that the academic action was arbitrary or capricious.</w:t>
      </w:r>
    </w:p>
    <w:p w14:paraId="18D09890" w14:textId="77777777" w:rsidR="00DF3C35" w:rsidRDefault="00DF3C35" w:rsidP="00A3709B">
      <w:pPr>
        <w:numPr>
          <w:ilvl w:val="0"/>
          <w:numId w:val="59"/>
        </w:numPr>
        <w:spacing w:before="120"/>
        <w:ind w:left="2340"/>
        <w:rPr>
          <w:rFonts w:ascii="Arial" w:hAnsi="Arial" w:cs="Arial"/>
        </w:rPr>
      </w:pPr>
      <w:r w:rsidRPr="00791ECC">
        <w:rPr>
          <w:rFonts w:ascii="Arial" w:hAnsi="Arial" w:cs="Arial"/>
        </w:rPr>
        <w:t xml:space="preserve">The determination of the Division Chief or designee will be final.  </w:t>
      </w:r>
    </w:p>
    <w:p w14:paraId="4DA11427" w14:textId="77777777" w:rsidR="00D52203" w:rsidRPr="00791ECC" w:rsidRDefault="00D52203" w:rsidP="00324EAD">
      <w:pPr>
        <w:numPr>
          <w:ilvl w:val="1"/>
          <w:numId w:val="2"/>
        </w:numPr>
        <w:spacing w:before="120"/>
        <w:ind w:left="1080"/>
        <w:rPr>
          <w:rFonts w:ascii="Arial" w:hAnsi="Arial" w:cs="Arial"/>
        </w:rPr>
      </w:pPr>
      <w:r w:rsidRPr="00BB035F">
        <w:rPr>
          <w:rFonts w:ascii="Arial" w:hAnsi="Arial" w:cs="Arial"/>
          <w:b/>
        </w:rPr>
        <w:t>Resident Review Committee</w:t>
      </w:r>
      <w:r w:rsidRPr="00791ECC">
        <w:rPr>
          <w:rFonts w:ascii="Arial" w:hAnsi="Arial" w:cs="Arial"/>
        </w:rPr>
        <w:t>.</w:t>
      </w:r>
    </w:p>
    <w:p w14:paraId="378EFE8D" w14:textId="77777777" w:rsidR="00D52203" w:rsidRPr="00791ECC" w:rsidRDefault="00D52203" w:rsidP="00324EAD">
      <w:pPr>
        <w:numPr>
          <w:ilvl w:val="0"/>
          <w:numId w:val="40"/>
        </w:numPr>
        <w:spacing w:before="120"/>
        <w:ind w:left="1800"/>
        <w:rPr>
          <w:rFonts w:ascii="Arial" w:hAnsi="Arial" w:cs="Arial"/>
        </w:rPr>
      </w:pPr>
      <w:r w:rsidRPr="004B56CA">
        <w:rPr>
          <w:rFonts w:ascii="Arial" w:hAnsi="Arial" w:cs="Arial"/>
        </w:rPr>
        <w:t>Applicability</w:t>
      </w:r>
      <w:r w:rsidRPr="00791ECC">
        <w:rPr>
          <w:rFonts w:ascii="Arial" w:hAnsi="Arial" w:cs="Arial"/>
        </w:rPr>
        <w:t xml:space="preserve">:  When a resident is notified of suspension, termination, probation, or non-advancement (including non-renewal of contract), the resident may request a hearing by the Resident Review Committee.  </w:t>
      </w:r>
      <w:r w:rsidRPr="00104B3C">
        <w:rPr>
          <w:rFonts w:ascii="Arial" w:hAnsi="Arial" w:cs="Arial"/>
        </w:rPr>
        <w:t>To initiate a hearing before the Resident Review Committee, the resident must make written request to the Director of Graduate Medical Education within seven (7) business days after the resident’s receipt of notification of suspension, termination, probation, or non-advancement (including non-renewal of contract).  If the resident does not submit a written request within this timeframe, the resident will have waived the right to the dispute resolution process.</w:t>
      </w:r>
      <w:r w:rsidRPr="00791ECC">
        <w:rPr>
          <w:rFonts w:ascii="Arial" w:hAnsi="Arial" w:cs="Arial"/>
        </w:rPr>
        <w:t xml:space="preserve">  </w:t>
      </w:r>
    </w:p>
    <w:p w14:paraId="03C82DA9" w14:textId="77777777" w:rsidR="00D52203" w:rsidRPr="00791ECC" w:rsidRDefault="00D52203" w:rsidP="00093319">
      <w:pPr>
        <w:numPr>
          <w:ilvl w:val="3"/>
          <w:numId w:val="2"/>
        </w:numPr>
        <w:tabs>
          <w:tab w:val="left" w:pos="2340"/>
        </w:tabs>
        <w:spacing w:before="120"/>
        <w:ind w:left="2340"/>
        <w:rPr>
          <w:rFonts w:ascii="Arial" w:hAnsi="Arial" w:cs="Arial"/>
        </w:rPr>
      </w:pPr>
      <w:r w:rsidRPr="00791ECC">
        <w:rPr>
          <w:rFonts w:ascii="Arial" w:hAnsi="Arial" w:cs="Arial"/>
        </w:rPr>
        <w:t>The resident’s written request for review must contain the following elements:</w:t>
      </w:r>
    </w:p>
    <w:p w14:paraId="318C55FB" w14:textId="77777777" w:rsidR="00D52203" w:rsidRPr="00791ECC" w:rsidRDefault="00D52203" w:rsidP="00A3709B">
      <w:pPr>
        <w:numPr>
          <w:ilvl w:val="4"/>
          <w:numId w:val="51"/>
        </w:numPr>
        <w:spacing w:before="120"/>
        <w:ind w:left="2880"/>
        <w:rPr>
          <w:rFonts w:ascii="Arial" w:hAnsi="Arial" w:cs="Arial"/>
        </w:rPr>
      </w:pPr>
      <w:r w:rsidRPr="00791ECC">
        <w:rPr>
          <w:rFonts w:ascii="Arial" w:hAnsi="Arial" w:cs="Arial"/>
        </w:rPr>
        <w:t>A brief description of the action being disputed;</w:t>
      </w:r>
    </w:p>
    <w:p w14:paraId="6FCB50C1" w14:textId="77777777" w:rsidR="00D52203" w:rsidRPr="00791ECC" w:rsidRDefault="00D52203" w:rsidP="00A3709B">
      <w:pPr>
        <w:numPr>
          <w:ilvl w:val="4"/>
          <w:numId w:val="51"/>
        </w:numPr>
        <w:ind w:left="2880"/>
        <w:rPr>
          <w:rFonts w:ascii="Arial" w:hAnsi="Arial" w:cs="Arial"/>
        </w:rPr>
      </w:pPr>
      <w:r w:rsidRPr="00791ECC">
        <w:rPr>
          <w:rFonts w:ascii="Arial" w:hAnsi="Arial" w:cs="Arial"/>
        </w:rPr>
        <w:t>A brief statement as to why the resident feels the action is unfair or inappropriate; and</w:t>
      </w:r>
    </w:p>
    <w:p w14:paraId="65E5DC65" w14:textId="77777777" w:rsidR="00D52203" w:rsidRPr="00791ECC" w:rsidRDefault="00D52203" w:rsidP="00A3709B">
      <w:pPr>
        <w:numPr>
          <w:ilvl w:val="4"/>
          <w:numId w:val="51"/>
        </w:numPr>
        <w:ind w:left="2880"/>
        <w:rPr>
          <w:rFonts w:ascii="Arial" w:hAnsi="Arial" w:cs="Arial"/>
        </w:rPr>
      </w:pPr>
      <w:r w:rsidRPr="00791ECC">
        <w:rPr>
          <w:rFonts w:ascii="Arial" w:hAnsi="Arial" w:cs="Arial"/>
        </w:rPr>
        <w:t>A statement of the requested remedy.</w:t>
      </w:r>
    </w:p>
    <w:p w14:paraId="3E44F844" w14:textId="21749FB9" w:rsidR="00D52203" w:rsidRPr="00791ECC" w:rsidRDefault="00D52203" w:rsidP="00A3709B">
      <w:pPr>
        <w:numPr>
          <w:ilvl w:val="3"/>
          <w:numId w:val="2"/>
        </w:numPr>
        <w:spacing w:before="120"/>
        <w:ind w:left="2340"/>
        <w:rPr>
          <w:rFonts w:ascii="Arial" w:hAnsi="Arial" w:cs="Arial"/>
        </w:rPr>
      </w:pPr>
      <w:r w:rsidRPr="00791ECC">
        <w:rPr>
          <w:rFonts w:ascii="Arial" w:hAnsi="Arial" w:cs="Arial"/>
        </w:rPr>
        <w:t xml:space="preserve">Hearing procedures:  </w:t>
      </w:r>
      <w:r w:rsidR="00324EAD">
        <w:rPr>
          <w:rFonts w:ascii="Arial" w:hAnsi="Arial" w:cs="Arial"/>
        </w:rPr>
        <w:t>T</w:t>
      </w:r>
      <w:r w:rsidRPr="00791ECC">
        <w:rPr>
          <w:rFonts w:ascii="Arial" w:hAnsi="Arial" w:cs="Arial"/>
        </w:rPr>
        <w:t xml:space="preserve">he hearing before the Resident Review Committee shall be conducted as set forth below in </w:t>
      </w:r>
      <w:r w:rsidRPr="00BB035F">
        <w:rPr>
          <w:rFonts w:ascii="Arial" w:hAnsi="Arial" w:cs="Arial"/>
          <w:u w:val="single"/>
        </w:rPr>
        <w:t>Section V. Hearing Procedures</w:t>
      </w:r>
      <w:r w:rsidRPr="00791ECC">
        <w:rPr>
          <w:rFonts w:ascii="Arial" w:hAnsi="Arial" w:cs="Arial"/>
        </w:rPr>
        <w:t>.</w:t>
      </w:r>
    </w:p>
    <w:p w14:paraId="76F51FEB" w14:textId="77777777" w:rsidR="00D52203" w:rsidRPr="00791ECC" w:rsidRDefault="00D52203" w:rsidP="00A3709B">
      <w:pPr>
        <w:numPr>
          <w:ilvl w:val="3"/>
          <w:numId w:val="2"/>
        </w:numPr>
        <w:spacing w:before="120"/>
        <w:ind w:left="2340"/>
        <w:rPr>
          <w:rFonts w:ascii="Arial" w:hAnsi="Arial" w:cs="Arial"/>
        </w:rPr>
      </w:pPr>
      <w:r w:rsidRPr="00791ECC">
        <w:rPr>
          <w:rFonts w:ascii="Arial" w:hAnsi="Arial" w:cs="Arial"/>
        </w:rPr>
        <w:t xml:space="preserve">The Resident Review Committee will issue a written report of findings and recommendations to the </w:t>
      </w:r>
      <w:r>
        <w:rPr>
          <w:rFonts w:ascii="Arial" w:hAnsi="Arial" w:cs="Arial"/>
        </w:rPr>
        <w:t xml:space="preserve">Senior Vice President for Health Sciences and </w:t>
      </w:r>
      <w:r w:rsidRPr="00791ECC">
        <w:rPr>
          <w:rFonts w:ascii="Arial" w:hAnsi="Arial" w:cs="Arial"/>
        </w:rPr>
        <w:t xml:space="preserve">Dean of the School of Medicine, or designee, within ten (10) business days after the conclusion of the hearing.  </w:t>
      </w:r>
    </w:p>
    <w:p w14:paraId="34D664B2" w14:textId="77777777" w:rsidR="00D52203" w:rsidRPr="00791ECC" w:rsidRDefault="00D52203" w:rsidP="00D52203">
      <w:pPr>
        <w:ind w:left="2520"/>
        <w:rPr>
          <w:rFonts w:ascii="Arial" w:hAnsi="Arial" w:cs="Arial"/>
        </w:rPr>
      </w:pPr>
    </w:p>
    <w:p w14:paraId="1FE1D0EA" w14:textId="77777777" w:rsidR="00D52203" w:rsidRPr="00226B4F" w:rsidRDefault="00D52203" w:rsidP="00D52203">
      <w:pPr>
        <w:numPr>
          <w:ilvl w:val="0"/>
          <w:numId w:val="40"/>
        </w:numPr>
        <w:ind w:left="1800"/>
        <w:rPr>
          <w:rFonts w:ascii="Arial" w:hAnsi="Arial" w:cs="Arial"/>
        </w:rPr>
      </w:pPr>
      <w:r w:rsidRPr="00226B4F">
        <w:rPr>
          <w:rFonts w:ascii="Arial" w:hAnsi="Arial" w:cs="Arial"/>
        </w:rPr>
        <w:t>Review and Decision by the Senior Vice President for Health Sciences/Dean of the School of Medicine or Designee.</w:t>
      </w:r>
    </w:p>
    <w:p w14:paraId="35186917" w14:textId="2E3AB327" w:rsidR="00D52203" w:rsidRPr="00226B4F" w:rsidRDefault="00D52203" w:rsidP="00A3709B">
      <w:pPr>
        <w:numPr>
          <w:ilvl w:val="0"/>
          <w:numId w:val="53"/>
        </w:numPr>
        <w:spacing w:before="120"/>
        <w:ind w:left="2340"/>
        <w:rPr>
          <w:rFonts w:ascii="Arial" w:hAnsi="Arial" w:cs="Arial"/>
        </w:rPr>
      </w:pPr>
      <w:r w:rsidRPr="00226B4F">
        <w:rPr>
          <w:rFonts w:ascii="Arial" w:hAnsi="Arial" w:cs="Arial"/>
        </w:rPr>
        <w:t xml:space="preserve">The Senior Vice President </w:t>
      </w:r>
      <w:r w:rsidR="00116276">
        <w:rPr>
          <w:rFonts w:ascii="Arial" w:hAnsi="Arial" w:cs="Arial"/>
        </w:rPr>
        <w:t>f</w:t>
      </w:r>
      <w:r w:rsidR="00116276" w:rsidRPr="00226B4F">
        <w:rPr>
          <w:rFonts w:ascii="Arial" w:hAnsi="Arial" w:cs="Arial"/>
        </w:rPr>
        <w:t xml:space="preserve">or </w:t>
      </w:r>
      <w:r w:rsidRPr="00226B4F">
        <w:rPr>
          <w:rFonts w:ascii="Arial" w:hAnsi="Arial" w:cs="Arial"/>
        </w:rPr>
        <w:t xml:space="preserve">Health Sciences/Dean of the School of Medicine, or designee, shall review the documentation submitted to the Resident Review Committee and the findings and recommendations of the Resident Review Committee.  Based upon such review, and without conducting further hearings, the Senior Vice President </w:t>
      </w:r>
      <w:r w:rsidR="00116276">
        <w:rPr>
          <w:rFonts w:ascii="Arial" w:hAnsi="Arial" w:cs="Arial"/>
        </w:rPr>
        <w:t>f</w:t>
      </w:r>
      <w:r w:rsidR="00116276" w:rsidRPr="00226B4F">
        <w:rPr>
          <w:rFonts w:ascii="Arial" w:hAnsi="Arial" w:cs="Arial"/>
        </w:rPr>
        <w:t xml:space="preserve">or </w:t>
      </w:r>
      <w:r w:rsidRPr="00226B4F">
        <w:rPr>
          <w:rFonts w:ascii="Arial" w:hAnsi="Arial" w:cs="Arial"/>
        </w:rPr>
        <w:t xml:space="preserve">Health Sciences/ Dean or designee shall, within ten (10) business days, take one of the following actions:  </w:t>
      </w:r>
    </w:p>
    <w:p w14:paraId="04846728" w14:textId="77777777" w:rsidR="00D52203" w:rsidRPr="00226B4F" w:rsidRDefault="00D52203" w:rsidP="00A3709B">
      <w:pPr>
        <w:numPr>
          <w:ilvl w:val="4"/>
          <w:numId w:val="55"/>
        </w:numPr>
        <w:spacing w:before="120"/>
        <w:ind w:left="2880"/>
        <w:rPr>
          <w:rFonts w:ascii="Arial" w:hAnsi="Arial" w:cs="Arial"/>
        </w:rPr>
      </w:pPr>
      <w:r w:rsidRPr="00226B4F">
        <w:rPr>
          <w:rFonts w:ascii="Arial" w:hAnsi="Arial" w:cs="Arial"/>
        </w:rPr>
        <w:t xml:space="preserve">Affirm the findings and recommendations of the Resident Review Committee; </w:t>
      </w:r>
    </w:p>
    <w:p w14:paraId="66762E2A" w14:textId="1CF79D10" w:rsidR="00D52203" w:rsidRPr="00226B4F" w:rsidRDefault="00D52203" w:rsidP="00A3709B">
      <w:pPr>
        <w:numPr>
          <w:ilvl w:val="4"/>
          <w:numId w:val="55"/>
        </w:numPr>
        <w:ind w:left="2880"/>
        <w:rPr>
          <w:rFonts w:ascii="Arial" w:hAnsi="Arial" w:cs="Arial"/>
        </w:rPr>
      </w:pPr>
      <w:r w:rsidRPr="00226B4F">
        <w:rPr>
          <w:rFonts w:ascii="Arial" w:hAnsi="Arial" w:cs="Arial"/>
        </w:rPr>
        <w:lastRenderedPageBreak/>
        <w:t xml:space="preserve">Return the report to the Committee Chair, requesting that the Committee reconvene to reconsider or clarify specific matters, materials, and issues, and forward to the Senior Vice President </w:t>
      </w:r>
      <w:r w:rsidR="00116276">
        <w:rPr>
          <w:rFonts w:ascii="Arial" w:hAnsi="Arial" w:cs="Arial"/>
        </w:rPr>
        <w:t>f</w:t>
      </w:r>
      <w:r w:rsidR="00116276" w:rsidRPr="00226B4F">
        <w:rPr>
          <w:rFonts w:ascii="Arial" w:hAnsi="Arial" w:cs="Arial"/>
        </w:rPr>
        <w:t xml:space="preserve">or </w:t>
      </w:r>
      <w:r w:rsidRPr="00226B4F">
        <w:rPr>
          <w:rFonts w:ascii="Arial" w:hAnsi="Arial" w:cs="Arial"/>
        </w:rPr>
        <w:t>Health Sciences/Dean or designee a revised report relating to the specific matters referred by the Senior Vice President For Health Sciences/Dean or designee for further consideration; or</w:t>
      </w:r>
    </w:p>
    <w:p w14:paraId="5ED5E9C8" w14:textId="77777777" w:rsidR="00D52203" w:rsidRPr="00226B4F" w:rsidRDefault="00D52203" w:rsidP="00A3709B">
      <w:pPr>
        <w:numPr>
          <w:ilvl w:val="4"/>
          <w:numId w:val="55"/>
        </w:numPr>
        <w:ind w:left="2880"/>
        <w:rPr>
          <w:rFonts w:ascii="Arial" w:hAnsi="Arial" w:cs="Arial"/>
        </w:rPr>
      </w:pPr>
      <w:r w:rsidRPr="00226B4F">
        <w:rPr>
          <w:rFonts w:ascii="Arial" w:hAnsi="Arial" w:cs="Arial"/>
        </w:rPr>
        <w:t xml:space="preserve">Reject all or parts of the Committee’s findings and recommendations, stating reasons and actions to be taken therefore. </w:t>
      </w:r>
    </w:p>
    <w:p w14:paraId="586F281D" w14:textId="625123A3" w:rsidR="00324EAD" w:rsidRPr="00226B4F" w:rsidRDefault="00D52203" w:rsidP="00A3709B">
      <w:pPr>
        <w:numPr>
          <w:ilvl w:val="0"/>
          <w:numId w:val="53"/>
        </w:numPr>
        <w:spacing w:before="120"/>
        <w:ind w:left="2340"/>
        <w:rPr>
          <w:rFonts w:ascii="Arial" w:hAnsi="Arial" w:cs="Arial"/>
        </w:rPr>
      </w:pPr>
      <w:r w:rsidRPr="00226B4F">
        <w:rPr>
          <w:rFonts w:ascii="Arial" w:hAnsi="Arial" w:cs="Arial"/>
        </w:rPr>
        <w:t xml:space="preserve">Written notice of the Senior Vice President </w:t>
      </w:r>
      <w:r w:rsidR="00116276">
        <w:rPr>
          <w:rFonts w:ascii="Arial" w:hAnsi="Arial" w:cs="Arial"/>
        </w:rPr>
        <w:t>f</w:t>
      </w:r>
      <w:r w:rsidR="00116276" w:rsidRPr="00226B4F">
        <w:rPr>
          <w:rFonts w:ascii="Arial" w:hAnsi="Arial" w:cs="Arial"/>
        </w:rPr>
        <w:t xml:space="preserve">or </w:t>
      </w:r>
      <w:r w:rsidRPr="00226B4F">
        <w:rPr>
          <w:rFonts w:ascii="Arial" w:hAnsi="Arial" w:cs="Arial"/>
        </w:rPr>
        <w:t>Health Sciences/Dean’s or designee’s decision shall be communicated to the relevant parties within fifteen (15) business days of the Senior Vice President/Dean’s or designee’s receipt of the Resident Review Committee’s findings and recommendations.</w:t>
      </w:r>
    </w:p>
    <w:p w14:paraId="06F0EBBB" w14:textId="79F7F000" w:rsidR="001D3AAE" w:rsidRDefault="00D52203" w:rsidP="00A3709B">
      <w:pPr>
        <w:numPr>
          <w:ilvl w:val="0"/>
          <w:numId w:val="53"/>
        </w:numPr>
        <w:spacing w:before="120"/>
        <w:ind w:left="2340"/>
        <w:rPr>
          <w:rFonts w:ascii="Arial" w:hAnsi="Arial" w:cs="Arial"/>
          <w:b/>
        </w:rPr>
      </w:pPr>
      <w:r w:rsidRPr="00324EAD">
        <w:rPr>
          <w:rFonts w:ascii="Arial" w:hAnsi="Arial" w:cs="Arial"/>
        </w:rPr>
        <w:t>The decision of the Senior Vice President for Health Sciences/Dean of the School of Medicine or designee is final.</w:t>
      </w:r>
    </w:p>
    <w:p w14:paraId="63902166" w14:textId="77777777" w:rsidR="001D3AAE" w:rsidRPr="00791ECC" w:rsidRDefault="001D3AAE" w:rsidP="00DF3C35">
      <w:pPr>
        <w:ind w:left="2520"/>
        <w:rPr>
          <w:rFonts w:ascii="Arial" w:hAnsi="Arial" w:cs="Arial"/>
          <w:b/>
        </w:rPr>
      </w:pPr>
    </w:p>
    <w:p w14:paraId="73923E3F" w14:textId="77777777" w:rsidR="00DF3C35" w:rsidRPr="00791ECC" w:rsidRDefault="00DF3C35" w:rsidP="006F3DFA">
      <w:pPr>
        <w:numPr>
          <w:ilvl w:val="0"/>
          <w:numId w:val="2"/>
        </w:numPr>
        <w:tabs>
          <w:tab w:val="clear" w:pos="1080"/>
          <w:tab w:val="num" w:pos="540"/>
        </w:tabs>
        <w:ind w:left="540" w:hanging="540"/>
        <w:rPr>
          <w:rFonts w:ascii="Arial" w:hAnsi="Arial" w:cs="Arial"/>
          <w:b/>
        </w:rPr>
      </w:pPr>
      <w:r w:rsidRPr="00791ECC">
        <w:rPr>
          <w:rFonts w:ascii="Arial" w:hAnsi="Arial" w:cs="Arial"/>
          <w:b/>
        </w:rPr>
        <w:t>HEARING PROCEDURES</w:t>
      </w:r>
    </w:p>
    <w:p w14:paraId="4C6AF2F8" w14:textId="3C380F46" w:rsidR="00DF3C35" w:rsidRPr="005D5855" w:rsidRDefault="00DF3C35" w:rsidP="00324EAD">
      <w:pPr>
        <w:numPr>
          <w:ilvl w:val="1"/>
          <w:numId w:val="2"/>
        </w:numPr>
        <w:spacing w:before="120"/>
        <w:ind w:left="1080"/>
        <w:rPr>
          <w:rFonts w:ascii="Arial" w:hAnsi="Arial" w:cs="Arial"/>
        </w:rPr>
      </w:pPr>
      <w:r w:rsidRPr="005D5855">
        <w:rPr>
          <w:rFonts w:ascii="Arial" w:hAnsi="Arial" w:cs="Arial"/>
          <w:b/>
        </w:rPr>
        <w:t>Applicability</w:t>
      </w:r>
      <w:r w:rsidR="005D5855">
        <w:rPr>
          <w:rFonts w:ascii="Arial" w:hAnsi="Arial" w:cs="Arial"/>
        </w:rPr>
        <w:t>.</w:t>
      </w:r>
      <w:r w:rsidRPr="005D5855">
        <w:rPr>
          <w:rFonts w:ascii="Arial" w:hAnsi="Arial" w:cs="Arial"/>
        </w:rPr>
        <w:t xml:space="preserve">  </w:t>
      </w:r>
      <w:r w:rsidR="009C13CA" w:rsidRPr="005D5855">
        <w:rPr>
          <w:rFonts w:ascii="Arial" w:hAnsi="Arial" w:cs="Arial"/>
        </w:rPr>
        <w:t>T</w:t>
      </w:r>
      <w:r w:rsidRPr="005D5855">
        <w:rPr>
          <w:rFonts w:ascii="Arial" w:hAnsi="Arial" w:cs="Arial"/>
        </w:rPr>
        <w:t>hese procedures apply to hearings before the Resident Review Committee.</w:t>
      </w:r>
    </w:p>
    <w:p w14:paraId="3DF7E624" w14:textId="4B5C62A2"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Program’s response to appeal</w:t>
      </w:r>
      <w:r w:rsidRPr="005D5855">
        <w:rPr>
          <w:rFonts w:ascii="Arial" w:hAnsi="Arial" w:cs="Arial"/>
        </w:rPr>
        <w:t xml:space="preserve">.  The program whose decision is being reviewed by the </w:t>
      </w:r>
      <w:r w:rsidR="009C13CA" w:rsidRPr="005D5855">
        <w:rPr>
          <w:rFonts w:ascii="Arial" w:hAnsi="Arial" w:cs="Arial"/>
        </w:rPr>
        <w:t xml:space="preserve">Review </w:t>
      </w:r>
      <w:r w:rsidRPr="005D5855">
        <w:rPr>
          <w:rFonts w:ascii="Arial" w:hAnsi="Arial" w:cs="Arial"/>
        </w:rPr>
        <w:t xml:space="preserve">Committee may deliver a response to the resident’s request for review to the chair of the Resident Review Committee, with a copy to the other party, no later than five (5) business days after receipt of the resident’s written notice of request for hearing.  The Program is not required to submit such a response. </w:t>
      </w:r>
    </w:p>
    <w:p w14:paraId="6A44C8F2" w14:textId="77777777"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Makeup of Committee</w:t>
      </w:r>
      <w:r w:rsidRPr="005D5855">
        <w:rPr>
          <w:rFonts w:ascii="Arial" w:hAnsi="Arial" w:cs="Arial"/>
        </w:rPr>
        <w:t xml:space="preserve">.  The Director of Graduate Medical Education will facilitate the appointment of the Resident Review Committee, including a Committee Chair.  The Resident Review Committee will consist of two faculty members and three residents with no substantial prior involvement in the dispute.  However, knowledge of the matter involved does not preclude any individual from serving as a member of the Committee.  </w:t>
      </w:r>
    </w:p>
    <w:p w14:paraId="6BDDCBE5" w14:textId="66865C41"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Conflict of Interest</w:t>
      </w:r>
      <w:r w:rsidRPr="005D5855">
        <w:rPr>
          <w:rFonts w:ascii="Arial" w:hAnsi="Arial" w:cs="Arial"/>
        </w:rPr>
        <w:t xml:space="preserve">.  Upon written request of one of the parties or Committee members, the Committee Chair may, but is not required to, excuse any member of the Committee if the Committee Chair determines that the member has a conflict of interest and cannot consider the appeal in an unbiased fashion.  The Committee Chair shall coordinate with the Director of </w:t>
      </w:r>
      <w:r w:rsidR="00D52203" w:rsidRPr="005D5855">
        <w:rPr>
          <w:rFonts w:ascii="Arial" w:hAnsi="Arial" w:cs="Arial"/>
        </w:rPr>
        <w:t>Graduate Medical Education</w:t>
      </w:r>
      <w:r w:rsidRPr="005D5855">
        <w:rPr>
          <w:rFonts w:ascii="Arial" w:hAnsi="Arial" w:cs="Arial"/>
        </w:rPr>
        <w:t xml:space="preserve"> to select an appropriate replacement for the excused member.</w:t>
      </w:r>
    </w:p>
    <w:p w14:paraId="36E4042E" w14:textId="1DFF75F3"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Scheduling of Hearing</w:t>
      </w:r>
      <w:r w:rsidRPr="005D5855">
        <w:rPr>
          <w:rFonts w:ascii="Arial" w:hAnsi="Arial" w:cs="Arial"/>
        </w:rPr>
        <w:t xml:space="preserve">.  When an appeal is filed in a timely manner, the </w:t>
      </w:r>
      <w:r w:rsidR="00D52203" w:rsidRPr="005D5855">
        <w:rPr>
          <w:rFonts w:ascii="Arial" w:hAnsi="Arial" w:cs="Arial"/>
        </w:rPr>
        <w:t xml:space="preserve">Director of Graduate Medical Education and </w:t>
      </w:r>
      <w:r w:rsidRPr="005D5855">
        <w:rPr>
          <w:rFonts w:ascii="Arial" w:hAnsi="Arial" w:cs="Arial"/>
        </w:rPr>
        <w:t xml:space="preserve">Committee Chair shall schedule a hearing date and notify the parties in writing of the date of the hearing, the </w:t>
      </w:r>
      <w:r w:rsidRPr="005D5855">
        <w:rPr>
          <w:rFonts w:ascii="Arial" w:hAnsi="Arial" w:cs="Arial"/>
        </w:rPr>
        <w:lastRenderedPageBreak/>
        <w:t xml:space="preserve">names of the Committee members, and the hearing procedures at least seven (7) business days prior to the hearing. </w:t>
      </w:r>
    </w:p>
    <w:p w14:paraId="64813971" w14:textId="6D7BA9BE"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Timing of Hearing</w:t>
      </w:r>
      <w:r w:rsidRPr="005D5855">
        <w:rPr>
          <w:rFonts w:ascii="Arial" w:hAnsi="Arial" w:cs="Arial"/>
        </w:rPr>
        <w:t xml:space="preserve">.  </w:t>
      </w:r>
      <w:r w:rsidR="00093319" w:rsidRPr="005D5855">
        <w:rPr>
          <w:rFonts w:ascii="Arial" w:hAnsi="Arial" w:cs="Arial"/>
        </w:rPr>
        <w:t>The Resident Review Committee shall conduct hearings within a reasonable time after the resident’s initiation of the request for review</w:t>
      </w:r>
      <w:r w:rsidRPr="005D5855">
        <w:rPr>
          <w:rFonts w:ascii="Arial" w:hAnsi="Arial" w:cs="Arial"/>
        </w:rPr>
        <w:t xml:space="preserve">.  </w:t>
      </w:r>
    </w:p>
    <w:p w14:paraId="4C8590FF" w14:textId="77777777"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Exchange of Documents and Witness Lists</w:t>
      </w:r>
      <w:r w:rsidRPr="005D5855">
        <w:rPr>
          <w:rFonts w:ascii="Arial" w:hAnsi="Arial" w:cs="Arial"/>
        </w:rPr>
        <w:t>.  At least three (3) business days prior to the date of the hearing, the parties shall make available to each other and to the Committee: (i) a list of their witnesses; (ii) a copy of the documents to be offered at the hearing; and (iii) a brief summary of the party’s position on the issues being grieved.  In exceptional circumstances, the Committee may allow a party to call witnesses not listed or to submit additional documents at the hearing.</w:t>
      </w:r>
    </w:p>
    <w:p w14:paraId="3B186486" w14:textId="36028D02"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Right to Advisor</w:t>
      </w:r>
      <w:r w:rsidRPr="005D5855">
        <w:rPr>
          <w:rFonts w:ascii="Arial" w:hAnsi="Arial" w:cs="Arial"/>
        </w:rPr>
        <w:t xml:space="preserve">.  The parties have a right to be accompanied by any person as advisor, including legal counsel, who will be permitted to attend but not directly participate in the proceedings.  Each party is entitled to only one advisor.  If the resident chooses to hire legal counsel, the resident shall be responsible for </w:t>
      </w:r>
      <w:r w:rsidR="00116276" w:rsidRPr="005D5855">
        <w:rPr>
          <w:rFonts w:ascii="Arial" w:hAnsi="Arial" w:cs="Arial"/>
        </w:rPr>
        <w:t xml:space="preserve">all </w:t>
      </w:r>
      <w:r w:rsidRPr="005D5855">
        <w:rPr>
          <w:rFonts w:ascii="Arial" w:hAnsi="Arial" w:cs="Arial"/>
        </w:rPr>
        <w:t xml:space="preserve">legal fees </w:t>
      </w:r>
      <w:r w:rsidR="00116276" w:rsidRPr="005D5855">
        <w:rPr>
          <w:rFonts w:ascii="Arial" w:hAnsi="Arial" w:cs="Arial"/>
        </w:rPr>
        <w:t>incurred</w:t>
      </w:r>
      <w:r w:rsidRPr="005D5855">
        <w:rPr>
          <w:rFonts w:ascii="Arial" w:hAnsi="Arial" w:cs="Arial"/>
        </w:rPr>
        <w:t xml:space="preserve">.    </w:t>
      </w:r>
    </w:p>
    <w:p w14:paraId="31D53302" w14:textId="77777777"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Hearings not Public</w:t>
      </w:r>
      <w:r w:rsidRPr="005D5855">
        <w:rPr>
          <w:rFonts w:ascii="Arial" w:hAnsi="Arial" w:cs="Arial"/>
        </w:rPr>
        <w:t>.  Hearings shall be closed to the public.</w:t>
      </w:r>
    </w:p>
    <w:p w14:paraId="5B12B4C2" w14:textId="77777777"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Copies</w:t>
      </w:r>
      <w:r w:rsidRPr="005D5855">
        <w:rPr>
          <w:rFonts w:ascii="Arial" w:hAnsi="Arial" w:cs="Arial"/>
        </w:rPr>
        <w:t>.  Hearings, except Committee deliberations and voting, shall be recorded and a copy made available to any party upon request.  Committee deliberations and voting shall take place in closed sessions.</w:t>
      </w:r>
    </w:p>
    <w:p w14:paraId="77AD58EE" w14:textId="77777777"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Quorum</w:t>
      </w:r>
      <w:r w:rsidRPr="005D5855">
        <w:rPr>
          <w:rFonts w:ascii="Arial" w:hAnsi="Arial" w:cs="Arial"/>
        </w:rPr>
        <w:t>.  The Committee must have a quorum present to hold a hearing. A quorum consists of three (3) members of the Committee, including at least one resident.  All decisions of the Committee shall require a majority vote of the Committee members present at the hearing.</w:t>
      </w:r>
    </w:p>
    <w:p w14:paraId="50399639" w14:textId="77777777"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Presentation of Evidence</w:t>
      </w:r>
      <w:r w:rsidRPr="005D5855">
        <w:rPr>
          <w:rFonts w:ascii="Arial" w:hAnsi="Arial" w:cs="Arial"/>
        </w:rPr>
        <w:t xml:space="preserve">.  At the hearing, the parties shall have the right to present questions to witnesses through the Committee chair, to present evidence and to call witnesses, in accordance with the Committee's established internal procedures.  Cross-examination of witnesses is only allowed through the Committee Chair.   </w:t>
      </w:r>
    </w:p>
    <w:p w14:paraId="4C44FAF9" w14:textId="77777777"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Rules of Evidence</w:t>
      </w:r>
      <w:r w:rsidRPr="005D5855">
        <w:rPr>
          <w:rFonts w:ascii="Arial" w:hAnsi="Arial" w:cs="Arial"/>
        </w:rPr>
        <w:t>.  The Committee shall not be bound by strict rules of legal evidence or procedure and may consider any evidence it deems relevant.</w:t>
      </w:r>
    </w:p>
    <w:p w14:paraId="0D5CFC60" w14:textId="77777777" w:rsidR="00DF3C35" w:rsidRPr="005D5855" w:rsidRDefault="00DF3C35" w:rsidP="00BB035F">
      <w:pPr>
        <w:numPr>
          <w:ilvl w:val="1"/>
          <w:numId w:val="2"/>
        </w:numPr>
        <w:spacing w:before="120"/>
        <w:ind w:left="1080"/>
        <w:rPr>
          <w:rFonts w:ascii="Arial" w:hAnsi="Arial" w:cs="Arial"/>
        </w:rPr>
      </w:pPr>
      <w:r w:rsidRPr="005D5855">
        <w:rPr>
          <w:rFonts w:ascii="Arial" w:hAnsi="Arial" w:cs="Arial"/>
          <w:b/>
        </w:rPr>
        <w:t>Role of the Office of General Counsel</w:t>
      </w:r>
      <w:r w:rsidRPr="005D5855">
        <w:rPr>
          <w:rFonts w:ascii="Arial" w:hAnsi="Arial" w:cs="Arial"/>
        </w:rPr>
        <w:t xml:space="preserve">.  A member of the Office of General Counsel shall serve as a resource to the Committee and may be present at the hearing and at post-hearing deliberations to provide guidance on substantive law and procedural matters. </w:t>
      </w:r>
    </w:p>
    <w:p w14:paraId="6053CC0E" w14:textId="216DE8F4" w:rsidR="006F3DFA" w:rsidRPr="005D5855" w:rsidRDefault="00DF3C35" w:rsidP="00BB035F">
      <w:pPr>
        <w:numPr>
          <w:ilvl w:val="1"/>
          <w:numId w:val="2"/>
        </w:numPr>
        <w:spacing w:before="120"/>
        <w:ind w:left="1080"/>
        <w:rPr>
          <w:rFonts w:ascii="Arial" w:hAnsi="Arial" w:cs="Arial"/>
        </w:rPr>
      </w:pPr>
      <w:r w:rsidRPr="005D5855">
        <w:rPr>
          <w:rFonts w:ascii="Arial" w:hAnsi="Arial" w:cs="Arial"/>
          <w:b/>
        </w:rPr>
        <w:t>Standard of Review</w:t>
      </w:r>
      <w:r w:rsidRPr="005D5855">
        <w:rPr>
          <w:rFonts w:ascii="Arial" w:hAnsi="Arial" w:cs="Arial"/>
        </w:rPr>
        <w:t xml:space="preserve">.  To recommend overturning the original academic action, the Committee must find that the academic action was arbitrary or capricious.  </w:t>
      </w:r>
    </w:p>
    <w:p w14:paraId="5B65F8CE" w14:textId="21152A70" w:rsidR="00DF3C35" w:rsidRPr="005D5855" w:rsidRDefault="00DF3C35" w:rsidP="00BB035F">
      <w:pPr>
        <w:numPr>
          <w:ilvl w:val="1"/>
          <w:numId w:val="2"/>
        </w:numPr>
        <w:spacing w:before="120"/>
        <w:ind w:left="1080"/>
        <w:rPr>
          <w:rFonts w:asciiTheme="majorHAnsi" w:hAnsiTheme="majorHAnsi"/>
        </w:rPr>
      </w:pPr>
      <w:r w:rsidRPr="005D5855">
        <w:rPr>
          <w:rFonts w:ascii="Arial" w:hAnsi="Arial" w:cs="Arial"/>
          <w:b/>
        </w:rPr>
        <w:t>Absence of Party</w:t>
      </w:r>
      <w:r w:rsidRPr="005D5855">
        <w:rPr>
          <w:rFonts w:ascii="Arial" w:hAnsi="Arial" w:cs="Arial"/>
        </w:rPr>
        <w:t xml:space="preserve">.  If either party to the appeal fails to attend the hearing without good cause, the Committee may proceed with the hearing and take </w:t>
      </w:r>
      <w:r w:rsidRPr="005D5855">
        <w:rPr>
          <w:rFonts w:ascii="Arial" w:hAnsi="Arial" w:cs="Arial"/>
        </w:rPr>
        <w:lastRenderedPageBreak/>
        <w:t>testimony and evidence and reach a decision on the basis of such testimony and evidence.</w:t>
      </w:r>
    </w:p>
    <w:p w14:paraId="100A538D" w14:textId="79549FB3" w:rsidR="00204B70" w:rsidRPr="00204B70" w:rsidRDefault="00204B70" w:rsidP="00DA04ED">
      <w:pPr>
        <w:rPr>
          <w:rFonts w:asciiTheme="majorHAnsi" w:hAnsiTheme="majorHAnsi"/>
          <w:color w:val="FF0000"/>
        </w:rPr>
      </w:pPr>
    </w:p>
    <w:sectPr w:rsidR="00204B70" w:rsidRPr="00204B70" w:rsidSect="00093319">
      <w:headerReference w:type="default" r:id="rId7"/>
      <w:footerReference w:type="even" r:id="rId8"/>
      <w:footerReference w:type="default" r:id="rId9"/>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280CA" w14:textId="77777777" w:rsidR="00A8407A" w:rsidRDefault="00A8407A" w:rsidP="00DF3C35">
      <w:r>
        <w:separator/>
      </w:r>
    </w:p>
  </w:endnote>
  <w:endnote w:type="continuationSeparator" w:id="0">
    <w:p w14:paraId="6834CB67" w14:textId="77777777" w:rsidR="00A8407A" w:rsidRDefault="00A8407A" w:rsidP="00DF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3603" w14:textId="77777777" w:rsidR="00DF2458" w:rsidRDefault="00DF2458" w:rsidP="00DF3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D9E74D" w14:textId="77777777" w:rsidR="00DF2458" w:rsidRDefault="00DF2458" w:rsidP="00DF3C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928B" w14:textId="232AB3A1" w:rsidR="00DF2458" w:rsidRPr="00E55C85" w:rsidRDefault="00DF2458" w:rsidP="00DF3C35">
    <w:pPr>
      <w:pStyle w:val="Footer"/>
      <w:framePr w:wrap="around" w:vAnchor="text" w:hAnchor="margin" w:xAlign="right" w:y="1"/>
      <w:rPr>
        <w:rStyle w:val="PageNumber"/>
        <w:rFonts w:ascii="Arial" w:hAnsi="Arial"/>
        <w:sz w:val="20"/>
        <w:szCs w:val="20"/>
      </w:rPr>
    </w:pPr>
    <w:r w:rsidRPr="00E55C85">
      <w:rPr>
        <w:rStyle w:val="PageNumber"/>
        <w:rFonts w:ascii="Arial" w:hAnsi="Arial"/>
        <w:sz w:val="20"/>
        <w:szCs w:val="20"/>
      </w:rPr>
      <w:fldChar w:fldCharType="begin"/>
    </w:r>
    <w:r w:rsidRPr="00E55C85">
      <w:rPr>
        <w:rStyle w:val="PageNumber"/>
        <w:rFonts w:ascii="Arial" w:hAnsi="Arial"/>
        <w:sz w:val="20"/>
        <w:szCs w:val="20"/>
      </w:rPr>
      <w:instrText xml:space="preserve">PAGE  </w:instrText>
    </w:r>
    <w:r w:rsidRPr="00E55C85">
      <w:rPr>
        <w:rStyle w:val="PageNumber"/>
        <w:rFonts w:ascii="Arial" w:hAnsi="Arial"/>
        <w:sz w:val="20"/>
        <w:szCs w:val="20"/>
      </w:rPr>
      <w:fldChar w:fldCharType="separate"/>
    </w:r>
    <w:r w:rsidR="0052082C">
      <w:rPr>
        <w:rStyle w:val="PageNumber"/>
        <w:rFonts w:ascii="Arial" w:hAnsi="Arial"/>
        <w:noProof/>
        <w:sz w:val="20"/>
        <w:szCs w:val="20"/>
      </w:rPr>
      <w:t>2</w:t>
    </w:r>
    <w:r w:rsidRPr="00E55C85">
      <w:rPr>
        <w:rStyle w:val="PageNumber"/>
        <w:rFonts w:ascii="Arial" w:hAnsi="Arial"/>
        <w:sz w:val="20"/>
        <w:szCs w:val="20"/>
      </w:rPr>
      <w:fldChar w:fldCharType="end"/>
    </w:r>
  </w:p>
  <w:p w14:paraId="3D8A1461" w14:textId="77777777" w:rsidR="00DF2458" w:rsidRDefault="00DF2458" w:rsidP="00DF3C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475FE" w14:textId="77777777" w:rsidR="00A8407A" w:rsidRDefault="00A8407A" w:rsidP="00DF3C35">
      <w:r>
        <w:separator/>
      </w:r>
    </w:p>
  </w:footnote>
  <w:footnote w:type="continuationSeparator" w:id="0">
    <w:p w14:paraId="33E4443D" w14:textId="77777777" w:rsidR="00A8407A" w:rsidRDefault="00A8407A" w:rsidP="00DF3C35">
      <w:r>
        <w:continuationSeparator/>
      </w:r>
    </w:p>
  </w:footnote>
  <w:footnote w:id="1">
    <w:p w14:paraId="40FFAB8D" w14:textId="28EEC30D" w:rsidR="00DF2458" w:rsidRDefault="00DF2458">
      <w:pPr>
        <w:pStyle w:val="FootnoteText"/>
      </w:pPr>
      <w:r>
        <w:rPr>
          <w:rStyle w:val="FootnoteReference"/>
        </w:rPr>
        <w:footnoteRef/>
      </w:r>
      <w:r w:rsidRPr="005D5855">
        <w:rPr>
          <w:rFonts w:ascii="Arial" w:hAnsi="Arial" w:cs="Arial"/>
          <w:sz w:val="20"/>
          <w:szCs w:val="20"/>
        </w:rPr>
        <w:t>http://acgme.org/acgmeweb/tabid/430/ProgramandInstitutionalAccreditation/NextAccreditationSystem/Milestones.aspx</w:t>
      </w:r>
    </w:p>
  </w:footnote>
  <w:footnote w:id="2">
    <w:p w14:paraId="607D5370" w14:textId="34626D27" w:rsidR="00DF2458" w:rsidRDefault="00DF2458">
      <w:pPr>
        <w:pStyle w:val="FootnoteText"/>
      </w:pPr>
      <w:r>
        <w:rPr>
          <w:rStyle w:val="FootnoteReference"/>
        </w:rPr>
        <w:footnoteRef/>
      </w:r>
      <w:r>
        <w:t xml:space="preserve"> </w:t>
      </w:r>
      <w:r w:rsidRPr="00BB035F">
        <w:rPr>
          <w:rFonts w:ascii="Arial" w:hAnsi="Arial" w:cs="Arial"/>
          <w:sz w:val="20"/>
          <w:szCs w:val="20"/>
        </w:rPr>
        <w:t xml:space="preserve">Probation must usually be </w:t>
      </w:r>
      <w:r w:rsidRPr="00BB035F">
        <w:rPr>
          <w:rFonts w:ascii="Arial" w:eastAsia="Times New Roman" w:hAnsi="Arial" w:cs="Arial"/>
          <w:sz w:val="20"/>
          <w:szCs w:val="20"/>
        </w:rPr>
        <w:t>disclose</w:t>
      </w:r>
      <w:r>
        <w:rPr>
          <w:rFonts w:ascii="Arial" w:eastAsia="Times New Roman" w:hAnsi="Arial" w:cs="Arial"/>
          <w:sz w:val="20"/>
          <w:szCs w:val="20"/>
        </w:rPr>
        <w:t>d</w:t>
      </w:r>
      <w:r w:rsidRPr="00BB035F">
        <w:rPr>
          <w:rFonts w:ascii="Arial" w:eastAsia="Times New Roman" w:hAnsi="Arial" w:cs="Arial"/>
          <w:sz w:val="20"/>
          <w:szCs w:val="20"/>
        </w:rPr>
        <w:t xml:space="preserve"> on license and privileging questionnaires</w:t>
      </w:r>
      <w:r>
        <w:rPr>
          <w:rFonts w:ascii="Arial" w:eastAsia="Times New Roman" w:hAnsi="Arial"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EBB3" w14:textId="6102770E" w:rsidR="00DF2458" w:rsidRPr="00DF2458" w:rsidRDefault="00DF2458" w:rsidP="00DF2458">
    <w:pPr>
      <w:rPr>
        <w:rFonts w:ascii="Arial" w:hAnsi="Arial" w:cs="Arial"/>
        <w:b/>
        <w:bCs/>
        <w:u w:val="single"/>
      </w:rPr>
    </w:pPr>
    <w:r w:rsidRPr="00DF2458">
      <w:rPr>
        <w:rFonts w:ascii="Arial" w:hAnsi="Arial" w:cs="Arial"/>
        <w:b/>
        <w:bCs/>
        <w:u w:val="single"/>
      </w:rPr>
      <w:t>GME 12.1: Academic Action, Resident Grievance and Appeal Procedures</w:t>
    </w:r>
  </w:p>
  <w:p w14:paraId="25E862B6" w14:textId="77777777" w:rsidR="00DF2458" w:rsidRPr="00DF2458" w:rsidRDefault="00DF2458">
    <w:pPr>
      <w:pStyle w:val="Header"/>
      <w:rPr>
        <w:bCs/>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631"/>
    <w:multiLevelType w:val="multilevel"/>
    <w:tmpl w:val="297001B2"/>
    <w:lvl w:ilvl="0">
      <w:start w:val="1"/>
      <w:numFmt w:val="upperRoman"/>
      <w:lvlText w:val="%1."/>
      <w:lvlJc w:val="left"/>
      <w:pPr>
        <w:tabs>
          <w:tab w:val="num" w:pos="1080"/>
        </w:tabs>
        <w:ind w:left="1080" w:hanging="720"/>
      </w:pPr>
      <w:rPr>
        <w:rFonts w:hint="default"/>
      </w:rPr>
    </w:lvl>
    <w:lvl w:ilvl="1">
      <w:start w:val="1"/>
      <w:numFmt w:val="low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D677F8"/>
    <w:multiLevelType w:val="multilevel"/>
    <w:tmpl w:val="CC4AEADA"/>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141327"/>
    <w:multiLevelType w:val="multilevel"/>
    <w:tmpl w:val="CC4AEADA"/>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2E6CC0"/>
    <w:multiLevelType w:val="hybridMultilevel"/>
    <w:tmpl w:val="981E4B6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6A64F34"/>
    <w:multiLevelType w:val="multilevel"/>
    <w:tmpl w:val="962232C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Roman"/>
      <w:lvlText w:val="%3."/>
      <w:lvlJc w:val="left"/>
      <w:pPr>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312225"/>
    <w:multiLevelType w:val="multilevel"/>
    <w:tmpl w:val="B27A67AE"/>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7B2EC1"/>
    <w:multiLevelType w:val="hybridMultilevel"/>
    <w:tmpl w:val="9C0CE7F4"/>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D555B9"/>
    <w:multiLevelType w:val="multilevel"/>
    <w:tmpl w:val="B27A67AE"/>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C750353"/>
    <w:multiLevelType w:val="hybridMultilevel"/>
    <w:tmpl w:val="8F6A4276"/>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EA56791A">
      <w:start w:val="1"/>
      <w:numFmt w:val="decimal"/>
      <w:lvlText w:val="%3."/>
      <w:lvlJc w:val="left"/>
      <w:pPr>
        <w:ind w:left="2340" w:hanging="360"/>
      </w:pPr>
      <w:rPr>
        <w:rFonts w:hint="default"/>
        <w:b w:val="0"/>
        <w:bCs w:val="0"/>
        <w:i w:val="0"/>
        <w:iCs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2721F5"/>
    <w:multiLevelType w:val="multilevel"/>
    <w:tmpl w:val="E7AAE1F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Roman"/>
      <w:lvlText w:val="%3."/>
      <w:lvlJc w:val="left"/>
      <w:pPr>
        <w:ind w:left="2340" w:hanging="360"/>
      </w:pPr>
      <w:rPr>
        <w:rFonts w:ascii="Arial" w:hAnsi="Arial" w:hint="default"/>
        <w:b w:val="0"/>
        <w:bCs w:val="0"/>
        <w:i w:val="0"/>
        <w:i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094CBD"/>
    <w:multiLevelType w:val="hybridMultilevel"/>
    <w:tmpl w:val="516604FE"/>
    <w:lvl w:ilvl="0" w:tplc="EA56791A">
      <w:start w:val="1"/>
      <w:numFmt w:val="decimal"/>
      <w:lvlText w:val="%1."/>
      <w:lvlJc w:val="left"/>
      <w:pPr>
        <w:ind w:left="23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57785"/>
    <w:multiLevelType w:val="hybridMultilevel"/>
    <w:tmpl w:val="ED6A87E8"/>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EA56791A">
      <w:start w:val="1"/>
      <w:numFmt w:val="decimal"/>
      <w:lvlText w:val="%3."/>
      <w:lvlJc w:val="left"/>
      <w:pPr>
        <w:ind w:left="2340" w:hanging="360"/>
      </w:pPr>
      <w:rPr>
        <w:rFonts w:hint="default"/>
        <w:b w:val="0"/>
        <w:bCs w:val="0"/>
        <w:i w:val="0"/>
        <w:iCs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0F5382"/>
    <w:multiLevelType w:val="hybridMultilevel"/>
    <w:tmpl w:val="BC92BC7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7723425"/>
    <w:multiLevelType w:val="hybridMultilevel"/>
    <w:tmpl w:val="7E40C1BA"/>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8740FD"/>
    <w:multiLevelType w:val="hybridMultilevel"/>
    <w:tmpl w:val="EE6C63AA"/>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3D0332C">
      <w:start w:val="1"/>
      <w:numFmt w:val="upperRoman"/>
      <w:lvlText w:val="%3."/>
      <w:lvlJc w:val="left"/>
      <w:pPr>
        <w:ind w:left="2340" w:hanging="360"/>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BC4CAC"/>
    <w:multiLevelType w:val="multilevel"/>
    <w:tmpl w:val="CC4AEADA"/>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02160A"/>
    <w:multiLevelType w:val="multilevel"/>
    <w:tmpl w:val="B27A67AE"/>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B6D6BFD"/>
    <w:multiLevelType w:val="hybridMultilevel"/>
    <w:tmpl w:val="1D803D60"/>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EA56791A">
      <w:start w:val="1"/>
      <w:numFmt w:val="decimal"/>
      <w:lvlText w:val="%3."/>
      <w:lvlJc w:val="left"/>
      <w:pPr>
        <w:ind w:left="2340" w:hanging="360"/>
      </w:pPr>
      <w:rPr>
        <w:rFonts w:hint="default"/>
        <w:b w:val="0"/>
        <w:bCs w:val="0"/>
        <w:i w:val="0"/>
        <w:iCs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1C24F5"/>
    <w:multiLevelType w:val="multilevel"/>
    <w:tmpl w:val="27A8E54C"/>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ED50025"/>
    <w:multiLevelType w:val="hybridMultilevel"/>
    <w:tmpl w:val="962232C6"/>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3D0332C">
      <w:start w:val="1"/>
      <w:numFmt w:val="upperRoman"/>
      <w:lvlText w:val="%3."/>
      <w:lvlJc w:val="left"/>
      <w:pPr>
        <w:ind w:left="2340" w:hanging="360"/>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B752B1"/>
    <w:multiLevelType w:val="multilevel"/>
    <w:tmpl w:val="9BAEE85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69F6EA4"/>
    <w:multiLevelType w:val="multilevel"/>
    <w:tmpl w:val="297001B2"/>
    <w:lvl w:ilvl="0">
      <w:start w:val="1"/>
      <w:numFmt w:val="upperRoman"/>
      <w:lvlText w:val="%1."/>
      <w:lvlJc w:val="left"/>
      <w:pPr>
        <w:tabs>
          <w:tab w:val="num" w:pos="1080"/>
        </w:tabs>
        <w:ind w:left="1080" w:hanging="720"/>
      </w:pPr>
      <w:rPr>
        <w:rFonts w:hint="default"/>
      </w:rPr>
    </w:lvl>
    <w:lvl w:ilvl="1">
      <w:start w:val="1"/>
      <w:numFmt w:val="low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7B16C79"/>
    <w:multiLevelType w:val="hybridMultilevel"/>
    <w:tmpl w:val="48508FDE"/>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3D0332C">
      <w:start w:val="1"/>
      <w:numFmt w:val="upperRoman"/>
      <w:lvlText w:val="%3."/>
      <w:lvlJc w:val="left"/>
      <w:pPr>
        <w:ind w:left="2340" w:hanging="360"/>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95D0321"/>
    <w:multiLevelType w:val="multilevel"/>
    <w:tmpl w:val="B27A67AE"/>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AC168D1"/>
    <w:multiLevelType w:val="multilevel"/>
    <w:tmpl w:val="CC4AEADA"/>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B691A5E"/>
    <w:multiLevelType w:val="multilevel"/>
    <w:tmpl w:val="B27A67AE"/>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E290EA4"/>
    <w:multiLevelType w:val="hybridMultilevel"/>
    <w:tmpl w:val="BA3C140C"/>
    <w:lvl w:ilvl="0" w:tplc="918AE728">
      <w:start w:val="3"/>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EC0171"/>
    <w:multiLevelType w:val="hybridMultilevel"/>
    <w:tmpl w:val="38DA4D22"/>
    <w:lvl w:ilvl="0" w:tplc="23D0332C">
      <w:start w:val="1"/>
      <w:numFmt w:val="upperRoman"/>
      <w:lvlText w:val="%1."/>
      <w:lvlJc w:val="left"/>
      <w:pPr>
        <w:tabs>
          <w:tab w:val="num" w:pos="1080"/>
        </w:tabs>
        <w:ind w:left="1080" w:hanging="720"/>
      </w:pPr>
      <w:rPr>
        <w:rFonts w:hint="default"/>
      </w:rPr>
    </w:lvl>
    <w:lvl w:ilvl="1" w:tplc="04090015">
      <w:start w:val="1"/>
      <w:numFmt w:val="upperLetter"/>
      <w:lvlText w:val="%2."/>
      <w:lvlJc w:val="left"/>
      <w:pPr>
        <w:ind w:left="1440" w:hanging="360"/>
      </w:pPr>
      <w:rPr>
        <w:rFonts w:hint="default"/>
        <w:b w:val="0"/>
        <w:bCs w:val="0"/>
        <w:i w:val="0"/>
        <w:iCs w:val="0"/>
      </w:rPr>
    </w:lvl>
    <w:lvl w:ilvl="2" w:tplc="EA56791A">
      <w:start w:val="1"/>
      <w:numFmt w:val="decimal"/>
      <w:lvlText w:val="%3."/>
      <w:lvlJc w:val="left"/>
      <w:pPr>
        <w:ind w:left="2340" w:hanging="360"/>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615A0F"/>
    <w:multiLevelType w:val="hybridMultilevel"/>
    <w:tmpl w:val="91423850"/>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7116C292">
      <w:start w:val="1"/>
      <w:numFmt w:val="upperRoman"/>
      <w:lvlText w:val="%3."/>
      <w:lvlJc w:val="left"/>
      <w:pPr>
        <w:ind w:left="2340" w:hanging="360"/>
      </w:pPr>
      <w:rPr>
        <w:rFonts w:ascii="Arial" w:hAnsi="Arial" w:hint="default"/>
        <w:b w:val="0"/>
        <w:bCs w:val="0"/>
        <w:i w:val="0"/>
        <w:iCs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79D498C"/>
    <w:multiLevelType w:val="multilevel"/>
    <w:tmpl w:val="E28484FE"/>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ascii="Arial" w:hAnsi="Arial" w:hint="default"/>
        <w:b w:val="0"/>
        <w:bCs w:val="0"/>
        <w:i w:val="0"/>
        <w:iCs w:val="0"/>
        <w:sz w:val="24"/>
        <w:szCs w:val="24"/>
      </w:rPr>
    </w:lvl>
    <w:lvl w:ilvl="2">
      <w:start w:val="1"/>
      <w:numFmt w:val="lowerRoman"/>
      <w:lvlText w:val="%3."/>
      <w:lvlJc w:val="right"/>
      <w:pPr>
        <w:tabs>
          <w:tab w:val="num" w:pos="2160"/>
        </w:tabs>
        <w:ind w:left="2160" w:hanging="180"/>
      </w:pPr>
      <w:rPr>
        <w:b w:val="0"/>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90B266F"/>
    <w:multiLevelType w:val="multilevel"/>
    <w:tmpl w:val="BC92BC7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1" w15:restartNumberingAfterBreak="0">
    <w:nsid w:val="39B045F2"/>
    <w:multiLevelType w:val="hybridMultilevel"/>
    <w:tmpl w:val="4F6694C6"/>
    <w:lvl w:ilvl="0" w:tplc="23D0332C">
      <w:start w:val="1"/>
      <w:numFmt w:val="upperRoman"/>
      <w:lvlText w:val="%1."/>
      <w:lvlJc w:val="left"/>
      <w:pPr>
        <w:tabs>
          <w:tab w:val="num" w:pos="1080"/>
        </w:tabs>
        <w:ind w:left="1080" w:hanging="720"/>
      </w:pPr>
      <w:rPr>
        <w:rFonts w:hint="default"/>
      </w:rPr>
    </w:lvl>
    <w:lvl w:ilvl="1" w:tplc="04090015">
      <w:start w:val="1"/>
      <w:numFmt w:val="upperLetter"/>
      <w:lvlText w:val="%2."/>
      <w:lvlJc w:val="left"/>
      <w:pPr>
        <w:ind w:left="1440" w:hanging="360"/>
      </w:pPr>
      <w:rPr>
        <w:rFonts w:hint="default"/>
        <w:b w:val="0"/>
        <w:bCs w:val="0"/>
        <w:i w:val="0"/>
        <w:iCs w:val="0"/>
      </w:rPr>
    </w:lvl>
    <w:lvl w:ilvl="2" w:tplc="49443998">
      <w:start w:val="1"/>
      <w:numFmt w:val="lowerRoman"/>
      <w:lvlText w:val="%3."/>
      <w:lvlJc w:val="right"/>
      <w:pPr>
        <w:tabs>
          <w:tab w:val="num" w:pos="2160"/>
        </w:tabs>
        <w:ind w:left="2160" w:hanging="180"/>
      </w:pPr>
      <w:rPr>
        <w:b w:val="0"/>
      </w:rPr>
    </w:lvl>
    <w:lvl w:ilvl="3" w:tplc="04090019">
      <w:start w:val="1"/>
      <w:numFmt w:val="lowerLetter"/>
      <w:lvlText w:val="%4."/>
      <w:lvlJc w:val="left"/>
      <w:pPr>
        <w:ind w:left="2880" w:hanging="360"/>
      </w:pPr>
    </w:lvl>
    <w:lvl w:ilvl="4" w:tplc="04090011">
      <w:start w:val="1"/>
      <w:numFmt w:val="decimal"/>
      <w:lvlText w:val="%5)"/>
      <w:lvlJc w:val="left"/>
      <w:pPr>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A796478"/>
    <w:multiLevelType w:val="multilevel"/>
    <w:tmpl w:val="94224BF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Roman"/>
      <w:lvlText w:val="%3."/>
      <w:lvlJc w:val="left"/>
      <w:pPr>
        <w:ind w:left="2340" w:hanging="360"/>
      </w:pPr>
      <w:rPr>
        <w:rFonts w:ascii="Arial" w:hAnsi="Arial" w:hint="default"/>
        <w:b w:val="0"/>
        <w:bCs w:val="0"/>
        <w:i w:val="0"/>
        <w:i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BB9641B"/>
    <w:multiLevelType w:val="hybridMultilevel"/>
    <w:tmpl w:val="464C40E6"/>
    <w:lvl w:ilvl="0" w:tplc="23D0332C">
      <w:start w:val="1"/>
      <w:numFmt w:val="upperRoman"/>
      <w:lvlText w:val="%1."/>
      <w:lvlJc w:val="left"/>
      <w:pPr>
        <w:tabs>
          <w:tab w:val="num" w:pos="1080"/>
        </w:tabs>
        <w:ind w:left="1080" w:hanging="720"/>
      </w:pPr>
      <w:rPr>
        <w:rFonts w:hint="default"/>
      </w:rPr>
    </w:lvl>
    <w:lvl w:ilvl="1" w:tplc="04090015">
      <w:start w:val="1"/>
      <w:numFmt w:val="upperLetter"/>
      <w:lvlText w:val="%2."/>
      <w:lvlJc w:val="left"/>
      <w:pPr>
        <w:ind w:left="1440" w:hanging="360"/>
      </w:pPr>
      <w:rPr>
        <w:rFonts w:hint="default"/>
        <w:b w:val="0"/>
        <w:bCs w:val="0"/>
        <w:i w:val="0"/>
        <w:iCs w:val="0"/>
      </w:rPr>
    </w:lvl>
    <w:lvl w:ilvl="2" w:tplc="EA56791A">
      <w:start w:val="1"/>
      <w:numFmt w:val="decimal"/>
      <w:lvlText w:val="%3."/>
      <w:lvlJc w:val="left"/>
      <w:pPr>
        <w:ind w:left="2340" w:hanging="360"/>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210977"/>
    <w:multiLevelType w:val="multilevel"/>
    <w:tmpl w:val="785A7D9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Roman"/>
      <w:lvlText w:val="%3."/>
      <w:lvlJc w:val="left"/>
      <w:pPr>
        <w:ind w:left="2340" w:hanging="360"/>
      </w:pPr>
      <w:rPr>
        <w:rFonts w:ascii="Arial" w:hAnsi="Arial" w:hint="default"/>
        <w:b w:val="0"/>
        <w:bCs w:val="0"/>
        <w:i w:val="0"/>
        <w:i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6420A14"/>
    <w:multiLevelType w:val="hybridMultilevel"/>
    <w:tmpl w:val="B1302A28"/>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3">
      <w:start w:val="1"/>
      <w:numFmt w:val="upperRoman"/>
      <w:lvlText w:val="%3."/>
      <w:lvlJc w:val="right"/>
      <w:pPr>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C32679A"/>
    <w:multiLevelType w:val="hybridMultilevel"/>
    <w:tmpl w:val="E28484FE"/>
    <w:lvl w:ilvl="0" w:tplc="23D0332C">
      <w:start w:val="1"/>
      <w:numFmt w:val="upperRoman"/>
      <w:lvlText w:val="%1."/>
      <w:lvlJc w:val="left"/>
      <w:pPr>
        <w:tabs>
          <w:tab w:val="num" w:pos="1080"/>
        </w:tabs>
        <w:ind w:left="1080" w:hanging="720"/>
      </w:pPr>
      <w:rPr>
        <w:rFonts w:hint="default"/>
      </w:rPr>
    </w:lvl>
    <w:lvl w:ilvl="1" w:tplc="B6A4481C">
      <w:start w:val="1"/>
      <w:numFmt w:val="upperLetter"/>
      <w:lvlText w:val="%2."/>
      <w:lvlJc w:val="left"/>
      <w:pPr>
        <w:ind w:left="1440" w:hanging="360"/>
      </w:pPr>
      <w:rPr>
        <w:rFonts w:ascii="Arial" w:hAnsi="Arial" w:hint="default"/>
        <w:b w:val="0"/>
        <w:bCs w:val="0"/>
        <w:i w:val="0"/>
        <w:iCs w:val="0"/>
        <w:sz w:val="24"/>
        <w:szCs w:val="24"/>
      </w:rPr>
    </w:lvl>
    <w:lvl w:ilvl="2" w:tplc="49443998">
      <w:start w:val="1"/>
      <w:numFmt w:val="lowerRoman"/>
      <w:lvlText w:val="%3."/>
      <w:lvlJc w:val="right"/>
      <w:pPr>
        <w:tabs>
          <w:tab w:val="num" w:pos="2160"/>
        </w:tabs>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111782"/>
    <w:multiLevelType w:val="hybridMultilevel"/>
    <w:tmpl w:val="1F5A18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F983428"/>
    <w:multiLevelType w:val="hybridMultilevel"/>
    <w:tmpl w:val="4CB2A1F4"/>
    <w:lvl w:ilvl="0" w:tplc="EA56791A">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252F3A"/>
    <w:multiLevelType w:val="hybridMultilevel"/>
    <w:tmpl w:val="11E4DDA8"/>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EA56791A">
      <w:start w:val="1"/>
      <w:numFmt w:val="decimal"/>
      <w:lvlText w:val="%3."/>
      <w:lvlJc w:val="left"/>
      <w:pPr>
        <w:ind w:left="2340" w:hanging="360"/>
      </w:pPr>
      <w:rPr>
        <w:rFonts w:hint="default"/>
        <w:b w:val="0"/>
        <w:bCs w:val="0"/>
        <w:i w:val="0"/>
        <w:iCs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20D0E5E"/>
    <w:multiLevelType w:val="hybridMultilevel"/>
    <w:tmpl w:val="D2B0283C"/>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3D0332C">
      <w:start w:val="1"/>
      <w:numFmt w:val="upperRoman"/>
      <w:lvlText w:val="%3."/>
      <w:lvlJc w:val="left"/>
      <w:pPr>
        <w:ind w:left="2340" w:hanging="360"/>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3343823"/>
    <w:multiLevelType w:val="hybridMultilevel"/>
    <w:tmpl w:val="8BCA4932"/>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3">
      <w:start w:val="1"/>
      <w:numFmt w:val="upperRoman"/>
      <w:lvlText w:val="%3."/>
      <w:lvlJc w:val="right"/>
      <w:pPr>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803BE3"/>
    <w:multiLevelType w:val="hybridMultilevel"/>
    <w:tmpl w:val="87C4F2E2"/>
    <w:lvl w:ilvl="0" w:tplc="23D0332C">
      <w:start w:val="1"/>
      <w:numFmt w:val="upperRoman"/>
      <w:lvlText w:val="%1."/>
      <w:lvlJc w:val="left"/>
      <w:pPr>
        <w:tabs>
          <w:tab w:val="num" w:pos="1080"/>
        </w:tabs>
        <w:ind w:left="1080" w:hanging="720"/>
      </w:pPr>
      <w:rPr>
        <w:rFonts w:hint="default"/>
      </w:rPr>
    </w:lvl>
    <w:lvl w:ilvl="1" w:tplc="04090015">
      <w:start w:val="1"/>
      <w:numFmt w:val="upperLetter"/>
      <w:lvlText w:val="%2."/>
      <w:lvlJc w:val="left"/>
      <w:pPr>
        <w:ind w:left="1440" w:hanging="360"/>
      </w:pPr>
      <w:rPr>
        <w:rFonts w:hint="default"/>
        <w:b w:val="0"/>
        <w:bCs w:val="0"/>
        <w:i w:val="0"/>
        <w:iCs w:val="0"/>
      </w:rPr>
    </w:lvl>
    <w:lvl w:ilvl="2" w:tplc="49443998">
      <w:start w:val="1"/>
      <w:numFmt w:val="lowerRoman"/>
      <w:lvlText w:val="%3."/>
      <w:lvlJc w:val="right"/>
      <w:pPr>
        <w:tabs>
          <w:tab w:val="num" w:pos="2160"/>
        </w:tabs>
        <w:ind w:left="2160" w:hanging="180"/>
      </w:pPr>
      <w:rPr>
        <w:b w:val="0"/>
      </w:rPr>
    </w:lvl>
    <w:lvl w:ilvl="3" w:tplc="04090019">
      <w:start w:val="1"/>
      <w:numFmt w:val="lowerLetter"/>
      <w:lvlText w:val="%4."/>
      <w:lvlJc w:val="left"/>
      <w:pPr>
        <w:ind w:left="2880" w:hanging="360"/>
      </w:pPr>
    </w:lvl>
    <w:lvl w:ilvl="4" w:tplc="04090011">
      <w:start w:val="1"/>
      <w:numFmt w:val="decimal"/>
      <w:lvlText w:val="%5)"/>
      <w:lvlJc w:val="left"/>
      <w:pPr>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B602A4D"/>
    <w:multiLevelType w:val="hybridMultilevel"/>
    <w:tmpl w:val="E7AAE1F4"/>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EA46123C">
      <w:start w:val="1"/>
      <w:numFmt w:val="upperRoman"/>
      <w:lvlText w:val="%3."/>
      <w:lvlJc w:val="left"/>
      <w:pPr>
        <w:ind w:left="2340" w:hanging="360"/>
      </w:pPr>
      <w:rPr>
        <w:rFonts w:ascii="Arial" w:hAnsi="Arial" w:hint="default"/>
        <w:b w:val="0"/>
        <w:bCs w:val="0"/>
        <w:i w:val="0"/>
        <w:iCs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C60074F"/>
    <w:multiLevelType w:val="hybridMultilevel"/>
    <w:tmpl w:val="11DC7806"/>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3">
      <w:start w:val="1"/>
      <w:numFmt w:val="upperRoman"/>
      <w:lvlText w:val="%3."/>
      <w:lvlJc w:val="right"/>
      <w:pPr>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CC95C45"/>
    <w:multiLevelType w:val="hybridMultilevel"/>
    <w:tmpl w:val="27A8E54C"/>
    <w:lvl w:ilvl="0" w:tplc="23D0332C">
      <w:start w:val="1"/>
      <w:numFmt w:val="upperRoman"/>
      <w:lvlText w:val="%1."/>
      <w:lvlJc w:val="left"/>
      <w:pPr>
        <w:tabs>
          <w:tab w:val="num" w:pos="1080"/>
        </w:tabs>
        <w:ind w:left="1080" w:hanging="720"/>
      </w:pPr>
      <w:rPr>
        <w:rFonts w:hint="default"/>
      </w:rPr>
    </w:lvl>
    <w:lvl w:ilvl="1" w:tplc="04090015">
      <w:start w:val="1"/>
      <w:numFmt w:val="upperLetter"/>
      <w:lvlText w:val="%2."/>
      <w:lvlJc w:val="left"/>
      <w:pPr>
        <w:ind w:left="1440" w:hanging="360"/>
      </w:pPr>
      <w:rPr>
        <w:rFonts w:hint="default"/>
        <w:b w:val="0"/>
        <w:bCs w:val="0"/>
        <w:i w:val="0"/>
        <w:iCs w:val="0"/>
      </w:rPr>
    </w:lvl>
    <w:lvl w:ilvl="2" w:tplc="49443998">
      <w:start w:val="1"/>
      <w:numFmt w:val="lowerRoman"/>
      <w:lvlText w:val="%3."/>
      <w:lvlJc w:val="right"/>
      <w:pPr>
        <w:tabs>
          <w:tab w:val="num" w:pos="2160"/>
        </w:tabs>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D0C6AA7"/>
    <w:multiLevelType w:val="hybridMultilevel"/>
    <w:tmpl w:val="9EC6AC5E"/>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EA46123C">
      <w:start w:val="1"/>
      <w:numFmt w:val="upperRoman"/>
      <w:lvlText w:val="%3."/>
      <w:lvlJc w:val="left"/>
      <w:pPr>
        <w:ind w:left="2340" w:hanging="360"/>
      </w:pPr>
      <w:rPr>
        <w:rFonts w:ascii="Arial" w:hAnsi="Arial" w:hint="default"/>
        <w:b w:val="0"/>
        <w:bCs w:val="0"/>
        <w:i w:val="0"/>
        <w:iCs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3242D81"/>
    <w:multiLevelType w:val="multilevel"/>
    <w:tmpl w:val="B27A67AE"/>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4BA0C8B"/>
    <w:multiLevelType w:val="multilevel"/>
    <w:tmpl w:val="9EC6AC5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Roman"/>
      <w:lvlText w:val="%3."/>
      <w:lvlJc w:val="left"/>
      <w:pPr>
        <w:ind w:left="2340" w:hanging="360"/>
      </w:pPr>
      <w:rPr>
        <w:rFonts w:ascii="Arial" w:hAnsi="Arial" w:hint="default"/>
        <w:b w:val="0"/>
        <w:bCs w:val="0"/>
        <w:i w:val="0"/>
        <w:i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55E2122"/>
    <w:multiLevelType w:val="multilevel"/>
    <w:tmpl w:val="B27A67AE"/>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5BE6E75"/>
    <w:multiLevelType w:val="hybridMultilevel"/>
    <w:tmpl w:val="8C44AF30"/>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5BCE52E">
      <w:start w:val="1"/>
      <w:numFmt w:val="upperRoman"/>
      <w:lvlText w:val="%3."/>
      <w:lvlJc w:val="left"/>
      <w:pPr>
        <w:ind w:left="2340" w:hanging="360"/>
      </w:pPr>
      <w:rPr>
        <w:rFonts w:ascii="Arial" w:hAnsi="Arial" w:hint="default"/>
        <w:b w:val="0"/>
        <w:bCs w:val="0"/>
        <w:i w:val="0"/>
        <w:iCs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7F854DF"/>
    <w:multiLevelType w:val="hybridMultilevel"/>
    <w:tmpl w:val="51129D48"/>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3D0332C">
      <w:start w:val="1"/>
      <w:numFmt w:val="upperRoman"/>
      <w:lvlText w:val="%3."/>
      <w:lvlJc w:val="left"/>
      <w:pPr>
        <w:ind w:left="2340" w:hanging="360"/>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8FF3A72"/>
    <w:multiLevelType w:val="multilevel"/>
    <w:tmpl w:val="51129D4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Roman"/>
      <w:lvlText w:val="%3."/>
      <w:lvlJc w:val="left"/>
      <w:pPr>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CBF339A"/>
    <w:multiLevelType w:val="hybridMultilevel"/>
    <w:tmpl w:val="A6126A30"/>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DED7CDD"/>
    <w:multiLevelType w:val="multilevel"/>
    <w:tmpl w:val="B27A67AE"/>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13F5021"/>
    <w:multiLevelType w:val="hybridMultilevel"/>
    <w:tmpl w:val="94224BF2"/>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97D09314">
      <w:start w:val="1"/>
      <w:numFmt w:val="upperRoman"/>
      <w:lvlText w:val="%3."/>
      <w:lvlJc w:val="left"/>
      <w:pPr>
        <w:ind w:left="2340" w:hanging="360"/>
      </w:pPr>
      <w:rPr>
        <w:rFonts w:ascii="Arial" w:hAnsi="Arial" w:hint="default"/>
        <w:b w:val="0"/>
        <w:bCs w:val="0"/>
        <w:i w:val="0"/>
        <w:iCs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1B215F5"/>
    <w:multiLevelType w:val="hybridMultilevel"/>
    <w:tmpl w:val="36BE6808"/>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EA56791A">
      <w:start w:val="1"/>
      <w:numFmt w:val="decimal"/>
      <w:lvlText w:val="%3."/>
      <w:lvlJc w:val="left"/>
      <w:pPr>
        <w:ind w:left="2340" w:hanging="360"/>
      </w:pPr>
      <w:rPr>
        <w:rFonts w:hint="default"/>
        <w:b w:val="0"/>
        <w:bCs w:val="0"/>
        <w:i w:val="0"/>
        <w:iCs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22A18BD"/>
    <w:multiLevelType w:val="hybridMultilevel"/>
    <w:tmpl w:val="771E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EA4F06"/>
    <w:multiLevelType w:val="multilevel"/>
    <w:tmpl w:val="CC4AEADA"/>
    <w:lvl w:ilvl="0">
      <w:start w:val="1"/>
      <w:numFmt w:val="upperRoman"/>
      <w:lvlText w:val="%1."/>
      <w:lvlJc w:val="left"/>
      <w:pPr>
        <w:tabs>
          <w:tab w:val="num" w:pos="1080"/>
        </w:tabs>
        <w:ind w:left="1080" w:hanging="720"/>
      </w:pPr>
      <w:rPr>
        <w:rFonts w:hint="default"/>
      </w:rPr>
    </w:lvl>
    <w:lvl w:ilvl="1">
      <w:start w:val="1"/>
      <w:numFmt w:val="upperLetter"/>
      <w:lvlText w:val="%2."/>
      <w:lvlJc w:val="left"/>
      <w:pPr>
        <w:ind w:left="1440" w:hanging="360"/>
      </w:pPr>
      <w:rPr>
        <w:rFonts w:hint="default"/>
        <w:b w:val="0"/>
        <w:bCs w:val="0"/>
        <w:i w:val="0"/>
        <w:iCs w:val="0"/>
      </w:rPr>
    </w:lvl>
    <w:lvl w:ilvl="2">
      <w:start w:val="1"/>
      <w:numFmt w:val="lowerRoman"/>
      <w:lvlText w:val="%3."/>
      <w:lvlJc w:val="right"/>
      <w:pPr>
        <w:tabs>
          <w:tab w:val="num" w:pos="2160"/>
        </w:tabs>
        <w:ind w:left="2160" w:hanging="180"/>
      </w:pPr>
      <w:rPr>
        <w:b w:val="0"/>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7E25D9C"/>
    <w:multiLevelType w:val="multilevel"/>
    <w:tmpl w:val="EE6C63A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Roman"/>
      <w:lvlText w:val="%3."/>
      <w:lvlJc w:val="left"/>
      <w:pPr>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D160830"/>
    <w:multiLevelType w:val="hybridMultilevel"/>
    <w:tmpl w:val="785A7D92"/>
    <w:lvl w:ilvl="0" w:tplc="23D033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EA46123C">
      <w:start w:val="1"/>
      <w:numFmt w:val="upperRoman"/>
      <w:lvlText w:val="%3."/>
      <w:lvlJc w:val="left"/>
      <w:pPr>
        <w:ind w:left="2340" w:hanging="360"/>
      </w:pPr>
      <w:rPr>
        <w:rFonts w:ascii="Arial" w:hAnsi="Arial" w:hint="default"/>
        <w:b w:val="0"/>
        <w:bCs w:val="0"/>
        <w:i w:val="0"/>
        <w:iCs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4545F2"/>
    <w:multiLevelType w:val="hybridMultilevel"/>
    <w:tmpl w:val="27425D68"/>
    <w:lvl w:ilvl="0" w:tplc="23D0332C">
      <w:start w:val="1"/>
      <w:numFmt w:val="upperRoman"/>
      <w:lvlText w:val="%1."/>
      <w:lvlJc w:val="left"/>
      <w:pPr>
        <w:tabs>
          <w:tab w:val="num" w:pos="1080"/>
        </w:tabs>
        <w:ind w:left="1080" w:hanging="720"/>
      </w:pPr>
      <w:rPr>
        <w:rFonts w:hint="default"/>
      </w:rPr>
    </w:lvl>
    <w:lvl w:ilvl="1" w:tplc="04090015">
      <w:start w:val="1"/>
      <w:numFmt w:val="upperLetter"/>
      <w:lvlText w:val="%2."/>
      <w:lvlJc w:val="left"/>
      <w:pPr>
        <w:ind w:left="1440" w:hanging="360"/>
      </w:pPr>
      <w:rPr>
        <w:rFonts w:hint="default"/>
        <w:b w:val="0"/>
        <w:bCs w:val="0"/>
        <w:i w:val="0"/>
        <w:iCs w:val="0"/>
      </w:rPr>
    </w:lvl>
    <w:lvl w:ilvl="2" w:tplc="49443998">
      <w:start w:val="1"/>
      <w:numFmt w:val="lowerRoman"/>
      <w:lvlText w:val="%3."/>
      <w:lvlJc w:val="right"/>
      <w:pPr>
        <w:tabs>
          <w:tab w:val="num" w:pos="2160"/>
        </w:tabs>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7"/>
  </w:num>
  <w:num w:numId="2">
    <w:abstractNumId w:val="36"/>
  </w:num>
  <w:num w:numId="3">
    <w:abstractNumId w:val="40"/>
  </w:num>
  <w:num w:numId="4">
    <w:abstractNumId w:val="35"/>
  </w:num>
  <w:num w:numId="5">
    <w:abstractNumId w:val="44"/>
  </w:num>
  <w:num w:numId="6">
    <w:abstractNumId w:val="6"/>
  </w:num>
  <w:num w:numId="7">
    <w:abstractNumId w:val="53"/>
  </w:num>
  <w:num w:numId="8">
    <w:abstractNumId w:val="13"/>
  </w:num>
  <w:num w:numId="9">
    <w:abstractNumId w:val="41"/>
  </w:num>
  <w:num w:numId="10">
    <w:abstractNumId w:val="22"/>
  </w:num>
  <w:num w:numId="11">
    <w:abstractNumId w:val="14"/>
  </w:num>
  <w:num w:numId="12">
    <w:abstractNumId w:val="19"/>
  </w:num>
  <w:num w:numId="13">
    <w:abstractNumId w:val="51"/>
  </w:num>
  <w:num w:numId="14">
    <w:abstractNumId w:val="20"/>
  </w:num>
  <w:num w:numId="15">
    <w:abstractNumId w:val="52"/>
  </w:num>
  <w:num w:numId="16">
    <w:abstractNumId w:val="50"/>
  </w:num>
  <w:num w:numId="17">
    <w:abstractNumId w:val="4"/>
  </w:num>
  <w:num w:numId="18">
    <w:abstractNumId w:val="28"/>
  </w:num>
  <w:num w:numId="19">
    <w:abstractNumId w:val="59"/>
  </w:num>
  <w:num w:numId="20">
    <w:abstractNumId w:val="60"/>
  </w:num>
  <w:num w:numId="21">
    <w:abstractNumId w:val="43"/>
  </w:num>
  <w:num w:numId="22">
    <w:abstractNumId w:val="46"/>
  </w:num>
  <w:num w:numId="23">
    <w:abstractNumId w:val="48"/>
  </w:num>
  <w:num w:numId="24">
    <w:abstractNumId w:val="55"/>
  </w:num>
  <w:num w:numId="25">
    <w:abstractNumId w:val="0"/>
  </w:num>
  <w:num w:numId="26">
    <w:abstractNumId w:val="21"/>
  </w:num>
  <w:num w:numId="27">
    <w:abstractNumId w:val="49"/>
  </w:num>
  <w:num w:numId="28">
    <w:abstractNumId w:val="37"/>
  </w:num>
  <w:num w:numId="29">
    <w:abstractNumId w:val="32"/>
  </w:num>
  <w:num w:numId="30">
    <w:abstractNumId w:val="8"/>
  </w:num>
  <w:num w:numId="31">
    <w:abstractNumId w:val="9"/>
  </w:num>
  <w:num w:numId="32">
    <w:abstractNumId w:val="56"/>
  </w:num>
  <w:num w:numId="33">
    <w:abstractNumId w:val="34"/>
  </w:num>
  <w:num w:numId="34">
    <w:abstractNumId w:val="39"/>
  </w:num>
  <w:num w:numId="35">
    <w:abstractNumId w:val="11"/>
  </w:num>
  <w:num w:numId="36">
    <w:abstractNumId w:val="17"/>
  </w:num>
  <w:num w:numId="37">
    <w:abstractNumId w:val="23"/>
  </w:num>
  <w:num w:numId="38">
    <w:abstractNumId w:val="33"/>
  </w:num>
  <w:num w:numId="39">
    <w:abstractNumId w:val="7"/>
  </w:num>
  <w:num w:numId="40">
    <w:abstractNumId w:val="38"/>
  </w:num>
  <w:num w:numId="41">
    <w:abstractNumId w:val="25"/>
  </w:num>
  <w:num w:numId="42">
    <w:abstractNumId w:val="16"/>
  </w:num>
  <w:num w:numId="43">
    <w:abstractNumId w:val="27"/>
  </w:num>
  <w:num w:numId="44">
    <w:abstractNumId w:val="10"/>
  </w:num>
  <w:num w:numId="45">
    <w:abstractNumId w:val="5"/>
  </w:num>
  <w:num w:numId="46">
    <w:abstractNumId w:val="54"/>
  </w:num>
  <w:num w:numId="47">
    <w:abstractNumId w:val="61"/>
  </w:num>
  <w:num w:numId="48">
    <w:abstractNumId w:val="45"/>
  </w:num>
  <w:num w:numId="49">
    <w:abstractNumId w:val="47"/>
  </w:num>
  <w:num w:numId="50">
    <w:abstractNumId w:val="24"/>
  </w:num>
  <w:num w:numId="51">
    <w:abstractNumId w:val="42"/>
  </w:num>
  <w:num w:numId="52">
    <w:abstractNumId w:val="2"/>
  </w:num>
  <w:num w:numId="53">
    <w:abstractNumId w:val="3"/>
  </w:num>
  <w:num w:numId="54">
    <w:abstractNumId w:val="1"/>
  </w:num>
  <w:num w:numId="55">
    <w:abstractNumId w:val="31"/>
  </w:num>
  <w:num w:numId="56">
    <w:abstractNumId w:val="18"/>
  </w:num>
  <w:num w:numId="57">
    <w:abstractNumId w:val="12"/>
  </w:num>
  <w:num w:numId="58">
    <w:abstractNumId w:val="30"/>
  </w:num>
  <w:num w:numId="59">
    <w:abstractNumId w:val="26"/>
  </w:num>
  <w:num w:numId="60">
    <w:abstractNumId w:val="15"/>
  </w:num>
  <w:num w:numId="61">
    <w:abstractNumId w:val="58"/>
  </w:num>
  <w:num w:numId="6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A3"/>
    <w:rsid w:val="000117F4"/>
    <w:rsid w:val="00033214"/>
    <w:rsid w:val="00052ED5"/>
    <w:rsid w:val="000569CD"/>
    <w:rsid w:val="00071AFE"/>
    <w:rsid w:val="00093319"/>
    <w:rsid w:val="000C2433"/>
    <w:rsid w:val="000C5B7D"/>
    <w:rsid w:val="00100D26"/>
    <w:rsid w:val="00107778"/>
    <w:rsid w:val="00116276"/>
    <w:rsid w:val="001513BB"/>
    <w:rsid w:val="00155C92"/>
    <w:rsid w:val="00163CB7"/>
    <w:rsid w:val="001D3AAE"/>
    <w:rsid w:val="001E1BC8"/>
    <w:rsid w:val="001F1F71"/>
    <w:rsid w:val="001F4100"/>
    <w:rsid w:val="00204B70"/>
    <w:rsid w:val="00250C47"/>
    <w:rsid w:val="00254F2E"/>
    <w:rsid w:val="002767F2"/>
    <w:rsid w:val="002B5C29"/>
    <w:rsid w:val="00324EAD"/>
    <w:rsid w:val="00330981"/>
    <w:rsid w:val="00336176"/>
    <w:rsid w:val="00357EA0"/>
    <w:rsid w:val="00381998"/>
    <w:rsid w:val="00394DD3"/>
    <w:rsid w:val="003A423B"/>
    <w:rsid w:val="003C40A5"/>
    <w:rsid w:val="00420237"/>
    <w:rsid w:val="00427A6E"/>
    <w:rsid w:val="00466A44"/>
    <w:rsid w:val="0047665D"/>
    <w:rsid w:val="004A023C"/>
    <w:rsid w:val="004B56CA"/>
    <w:rsid w:val="0052082C"/>
    <w:rsid w:val="00520BF5"/>
    <w:rsid w:val="00527CA2"/>
    <w:rsid w:val="00565DB2"/>
    <w:rsid w:val="005D5855"/>
    <w:rsid w:val="005E45A6"/>
    <w:rsid w:val="006377A8"/>
    <w:rsid w:val="006D5172"/>
    <w:rsid w:val="006F3DFA"/>
    <w:rsid w:val="007026E7"/>
    <w:rsid w:val="00732ABA"/>
    <w:rsid w:val="00797867"/>
    <w:rsid w:val="007E13F5"/>
    <w:rsid w:val="008034DA"/>
    <w:rsid w:val="008060EA"/>
    <w:rsid w:val="00856C5D"/>
    <w:rsid w:val="00857D6A"/>
    <w:rsid w:val="00875105"/>
    <w:rsid w:val="008D0E00"/>
    <w:rsid w:val="00931D5C"/>
    <w:rsid w:val="00952052"/>
    <w:rsid w:val="00961844"/>
    <w:rsid w:val="00994F9E"/>
    <w:rsid w:val="009C13CA"/>
    <w:rsid w:val="009D6E6D"/>
    <w:rsid w:val="009E5124"/>
    <w:rsid w:val="009F7767"/>
    <w:rsid w:val="00A3709B"/>
    <w:rsid w:val="00A6474A"/>
    <w:rsid w:val="00A81D94"/>
    <w:rsid w:val="00A8407A"/>
    <w:rsid w:val="00A92201"/>
    <w:rsid w:val="00AB6B60"/>
    <w:rsid w:val="00AC767B"/>
    <w:rsid w:val="00AE4577"/>
    <w:rsid w:val="00B2726A"/>
    <w:rsid w:val="00B44C48"/>
    <w:rsid w:val="00B55470"/>
    <w:rsid w:val="00B57D10"/>
    <w:rsid w:val="00B74F6D"/>
    <w:rsid w:val="00B76AA4"/>
    <w:rsid w:val="00BB035F"/>
    <w:rsid w:val="00BB230A"/>
    <w:rsid w:val="00BC4677"/>
    <w:rsid w:val="00BF042F"/>
    <w:rsid w:val="00C512F0"/>
    <w:rsid w:val="00C5576B"/>
    <w:rsid w:val="00C61F33"/>
    <w:rsid w:val="00C82318"/>
    <w:rsid w:val="00CD765E"/>
    <w:rsid w:val="00CE2E5B"/>
    <w:rsid w:val="00CF392E"/>
    <w:rsid w:val="00D52203"/>
    <w:rsid w:val="00D85167"/>
    <w:rsid w:val="00D92F54"/>
    <w:rsid w:val="00DA04ED"/>
    <w:rsid w:val="00DE2C47"/>
    <w:rsid w:val="00DF2458"/>
    <w:rsid w:val="00DF2BB0"/>
    <w:rsid w:val="00DF3C35"/>
    <w:rsid w:val="00E26A1F"/>
    <w:rsid w:val="00E55C85"/>
    <w:rsid w:val="00E938E4"/>
    <w:rsid w:val="00EA617B"/>
    <w:rsid w:val="00EB19A3"/>
    <w:rsid w:val="00EB3A41"/>
    <w:rsid w:val="00ED6585"/>
    <w:rsid w:val="00EF453D"/>
    <w:rsid w:val="00F1171B"/>
    <w:rsid w:val="00F11821"/>
    <w:rsid w:val="00F4138C"/>
    <w:rsid w:val="00F5433F"/>
    <w:rsid w:val="00F62462"/>
    <w:rsid w:val="00F7473C"/>
    <w:rsid w:val="00F91E71"/>
    <w:rsid w:val="00FB532C"/>
    <w:rsid w:val="00FD220B"/>
    <w:rsid w:val="00FE042F"/>
    <w:rsid w:val="00FF6C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437E8"/>
  <w15:docId w15:val="{24A58E3B-2579-432E-9106-D1A9C8C0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10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F71"/>
    <w:pPr>
      <w:ind w:left="720"/>
      <w:contextualSpacing/>
    </w:pPr>
  </w:style>
  <w:style w:type="paragraph" w:styleId="Footer">
    <w:name w:val="footer"/>
    <w:basedOn w:val="Normal"/>
    <w:link w:val="FooterChar"/>
    <w:uiPriority w:val="99"/>
    <w:unhideWhenUsed/>
    <w:rsid w:val="00DF3C35"/>
    <w:pPr>
      <w:tabs>
        <w:tab w:val="center" w:pos="4320"/>
        <w:tab w:val="right" w:pos="8640"/>
      </w:tabs>
    </w:pPr>
  </w:style>
  <w:style w:type="character" w:customStyle="1" w:styleId="FooterChar">
    <w:name w:val="Footer Char"/>
    <w:basedOn w:val="DefaultParagraphFont"/>
    <w:link w:val="Footer"/>
    <w:uiPriority w:val="99"/>
    <w:rsid w:val="00DF3C35"/>
  </w:style>
  <w:style w:type="character" w:styleId="PageNumber">
    <w:name w:val="page number"/>
    <w:basedOn w:val="DefaultParagraphFont"/>
    <w:uiPriority w:val="99"/>
    <w:semiHidden/>
    <w:unhideWhenUsed/>
    <w:rsid w:val="00DF3C35"/>
  </w:style>
  <w:style w:type="paragraph" w:styleId="BalloonText">
    <w:name w:val="Balloon Text"/>
    <w:basedOn w:val="Normal"/>
    <w:link w:val="BalloonTextChar"/>
    <w:uiPriority w:val="99"/>
    <w:semiHidden/>
    <w:unhideWhenUsed/>
    <w:rsid w:val="00B2726A"/>
    <w:rPr>
      <w:rFonts w:ascii="Lucida Grande" w:hAnsi="Lucida Grande"/>
      <w:sz w:val="18"/>
      <w:szCs w:val="18"/>
    </w:rPr>
  </w:style>
  <w:style w:type="character" w:customStyle="1" w:styleId="BalloonTextChar">
    <w:name w:val="Balloon Text Char"/>
    <w:basedOn w:val="DefaultParagraphFont"/>
    <w:link w:val="BalloonText"/>
    <w:uiPriority w:val="99"/>
    <w:semiHidden/>
    <w:rsid w:val="00B2726A"/>
    <w:rPr>
      <w:rFonts w:ascii="Lucida Grande" w:hAnsi="Lucida Grande"/>
      <w:sz w:val="18"/>
      <w:szCs w:val="18"/>
    </w:rPr>
  </w:style>
  <w:style w:type="paragraph" w:styleId="FootnoteText">
    <w:name w:val="footnote text"/>
    <w:basedOn w:val="Normal"/>
    <w:link w:val="FootnoteTextChar"/>
    <w:uiPriority w:val="99"/>
    <w:unhideWhenUsed/>
    <w:rsid w:val="00B57D10"/>
  </w:style>
  <w:style w:type="character" w:customStyle="1" w:styleId="FootnoteTextChar">
    <w:name w:val="Footnote Text Char"/>
    <w:basedOn w:val="DefaultParagraphFont"/>
    <w:link w:val="FootnoteText"/>
    <w:uiPriority w:val="99"/>
    <w:rsid w:val="00B57D10"/>
  </w:style>
  <w:style w:type="character" w:styleId="FootnoteReference">
    <w:name w:val="footnote reference"/>
    <w:basedOn w:val="DefaultParagraphFont"/>
    <w:uiPriority w:val="99"/>
    <w:unhideWhenUsed/>
    <w:rsid w:val="00B57D10"/>
    <w:rPr>
      <w:vertAlign w:val="superscript"/>
    </w:rPr>
  </w:style>
  <w:style w:type="character" w:styleId="Hyperlink">
    <w:name w:val="Hyperlink"/>
    <w:basedOn w:val="DefaultParagraphFont"/>
    <w:uiPriority w:val="99"/>
    <w:unhideWhenUsed/>
    <w:rsid w:val="0047665D"/>
    <w:rPr>
      <w:color w:val="0000FF" w:themeColor="hyperlink"/>
      <w:u w:val="single"/>
    </w:rPr>
  </w:style>
  <w:style w:type="character" w:styleId="FollowedHyperlink">
    <w:name w:val="FollowedHyperlink"/>
    <w:basedOn w:val="DefaultParagraphFont"/>
    <w:uiPriority w:val="99"/>
    <w:semiHidden/>
    <w:unhideWhenUsed/>
    <w:rsid w:val="0047665D"/>
    <w:rPr>
      <w:color w:val="800080" w:themeColor="followedHyperlink"/>
      <w:u w:val="single"/>
    </w:rPr>
  </w:style>
  <w:style w:type="character" w:customStyle="1" w:styleId="Heading1Char">
    <w:name w:val="Heading 1 Char"/>
    <w:basedOn w:val="DefaultParagraphFont"/>
    <w:link w:val="Heading1"/>
    <w:uiPriority w:val="9"/>
    <w:rsid w:val="00875105"/>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DF2458"/>
    <w:pPr>
      <w:tabs>
        <w:tab w:val="center" w:pos="4320"/>
        <w:tab w:val="right" w:pos="8640"/>
      </w:tabs>
    </w:pPr>
  </w:style>
  <w:style w:type="character" w:customStyle="1" w:styleId="HeaderChar">
    <w:name w:val="Header Char"/>
    <w:basedOn w:val="DefaultParagraphFont"/>
    <w:link w:val="Header"/>
    <w:uiPriority w:val="99"/>
    <w:rsid w:val="00DF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utah school of medicine</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vinsel</dc:creator>
  <cp:keywords/>
  <dc:description/>
  <cp:lastModifiedBy>Randy Jensen</cp:lastModifiedBy>
  <cp:revision>3</cp:revision>
  <cp:lastPrinted>2016-04-14T18:19:00Z</cp:lastPrinted>
  <dcterms:created xsi:type="dcterms:W3CDTF">2018-10-27T02:00:00Z</dcterms:created>
  <dcterms:modified xsi:type="dcterms:W3CDTF">2018-11-13T20:48:00Z</dcterms:modified>
</cp:coreProperties>
</file>