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F4" w:rsidRPr="004940E1" w:rsidRDefault="000E2256" w:rsidP="00DA6CCE">
      <w:pPr>
        <w:jc w:val="center"/>
        <w:rPr>
          <w:b/>
          <w:sz w:val="28"/>
          <w:szCs w:val="28"/>
        </w:rPr>
      </w:pPr>
      <w:r w:rsidRPr="004940E1">
        <w:rPr>
          <w:b/>
          <w:sz w:val="28"/>
          <w:szCs w:val="28"/>
        </w:rPr>
        <w:t>Program Evaluation Committee Meeting</w:t>
      </w:r>
      <w:r w:rsidR="00816693" w:rsidRPr="004940E1">
        <w:rPr>
          <w:b/>
          <w:sz w:val="28"/>
          <w:szCs w:val="28"/>
        </w:rPr>
        <w:t xml:space="preserve"> Minutes</w:t>
      </w:r>
    </w:p>
    <w:p w:rsidR="005D3B3F" w:rsidRPr="004940E1" w:rsidRDefault="005D3B3F" w:rsidP="00DA6CCE">
      <w:pPr>
        <w:jc w:val="center"/>
        <w:rPr>
          <w:b/>
          <w:sz w:val="28"/>
          <w:szCs w:val="28"/>
        </w:rPr>
      </w:pPr>
      <w:r w:rsidRPr="004940E1">
        <w:rPr>
          <w:b/>
          <w:sz w:val="28"/>
          <w:szCs w:val="28"/>
        </w:rPr>
        <w:t>Annual Program Evaluation</w:t>
      </w:r>
    </w:p>
    <w:p w:rsidR="009F28F4" w:rsidRPr="004940E1" w:rsidRDefault="009F28F4" w:rsidP="00DA6CCE">
      <w:pPr>
        <w:jc w:val="center"/>
        <w:rPr>
          <w:b/>
          <w:sz w:val="28"/>
          <w:szCs w:val="28"/>
        </w:rPr>
      </w:pPr>
    </w:p>
    <w:p w:rsidR="00DA6CCE" w:rsidRPr="004940E1" w:rsidRDefault="00DA6CCE" w:rsidP="00DA6CCE">
      <w:pPr>
        <w:jc w:val="center"/>
        <w:rPr>
          <w:b/>
          <w:sz w:val="28"/>
          <w:szCs w:val="28"/>
        </w:rPr>
      </w:pPr>
      <w:r w:rsidRPr="004940E1">
        <w:rPr>
          <w:b/>
          <w:sz w:val="28"/>
          <w:szCs w:val="28"/>
        </w:rPr>
        <w:t>SPECIALTY</w:t>
      </w:r>
    </w:p>
    <w:p w:rsidR="00412EA5" w:rsidRPr="004940E1" w:rsidRDefault="00DA6CCE" w:rsidP="00DA6CCE">
      <w:pPr>
        <w:jc w:val="center"/>
        <w:rPr>
          <w:b/>
          <w:sz w:val="28"/>
          <w:szCs w:val="28"/>
        </w:rPr>
      </w:pPr>
      <w:r w:rsidRPr="004940E1">
        <w:rPr>
          <w:b/>
          <w:sz w:val="28"/>
          <w:szCs w:val="28"/>
        </w:rPr>
        <w:t>DATE</w:t>
      </w:r>
    </w:p>
    <w:p w:rsidR="00DA6CCE" w:rsidRDefault="00DA6CC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955"/>
        <w:gridCol w:w="11415"/>
      </w:tblGrid>
      <w:tr w:rsidR="00DA6CCE" w:rsidTr="00816693">
        <w:tc>
          <w:tcPr>
            <w:tcW w:w="2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6CCE" w:rsidRDefault="00DA6CCE">
            <w:r>
              <w:t>Attendees Present</w:t>
            </w:r>
          </w:p>
        </w:tc>
        <w:tc>
          <w:tcPr>
            <w:tcW w:w="1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6CCE" w:rsidRPr="00C16364" w:rsidRDefault="005D3B3F">
            <w:pPr>
              <w:rPr>
                <w:i/>
                <w:color w:val="FF0000"/>
              </w:rPr>
            </w:pPr>
            <w:r w:rsidRPr="00C16364">
              <w:rPr>
                <w:i/>
                <w:color w:val="FF0000"/>
              </w:rPr>
              <w:t>Add all representatives present including residents/fellows.</w:t>
            </w:r>
          </w:p>
          <w:p w:rsidR="00C16364" w:rsidRPr="00C16364" w:rsidRDefault="00C16364">
            <w:r w:rsidRPr="00C16364">
              <w:rPr>
                <w:i/>
                <w:color w:val="FF0000"/>
              </w:rPr>
              <w:t>The Program Evaluation Committee must be composed of at least two program faculty members, at least one of whom is a core faculty member, and at least one resident. [CPR [V.C.1.a)]</w:t>
            </w:r>
          </w:p>
        </w:tc>
      </w:tr>
    </w:tbl>
    <w:p w:rsidR="003E6DA8" w:rsidRDefault="003E6DA8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4790"/>
        <w:gridCol w:w="4790"/>
        <w:gridCol w:w="4790"/>
      </w:tblGrid>
      <w:tr w:rsidR="00122312" w:rsidRPr="00290107" w:rsidTr="00816693">
        <w:trPr>
          <w:cantSplit/>
          <w:tblHeader/>
        </w:trPr>
        <w:tc>
          <w:tcPr>
            <w:tcW w:w="4790" w:type="dxa"/>
          </w:tcPr>
          <w:p w:rsidR="00412EA5" w:rsidRPr="00C16364" w:rsidRDefault="00DA6CCE" w:rsidP="00DA6CCE">
            <w:pPr>
              <w:rPr>
                <w:b/>
                <w:sz w:val="20"/>
                <w:szCs w:val="20"/>
              </w:rPr>
            </w:pPr>
            <w:r w:rsidRPr="00C16364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4790" w:type="dxa"/>
          </w:tcPr>
          <w:p w:rsidR="00412EA5" w:rsidRPr="00290107" w:rsidRDefault="00DA6CCE" w:rsidP="00DA6CCE">
            <w:pPr>
              <w:rPr>
                <w:b/>
                <w:sz w:val="20"/>
                <w:szCs w:val="20"/>
              </w:rPr>
            </w:pPr>
            <w:r w:rsidRPr="00290107">
              <w:rPr>
                <w:b/>
                <w:sz w:val="20"/>
                <w:szCs w:val="20"/>
              </w:rPr>
              <w:t>Discussion</w:t>
            </w:r>
          </w:p>
        </w:tc>
        <w:tc>
          <w:tcPr>
            <w:tcW w:w="4790" w:type="dxa"/>
          </w:tcPr>
          <w:p w:rsidR="00412EA5" w:rsidRPr="00290107" w:rsidRDefault="009F28F4" w:rsidP="00DA6CCE">
            <w:pPr>
              <w:rPr>
                <w:b/>
                <w:sz w:val="20"/>
                <w:szCs w:val="20"/>
              </w:rPr>
            </w:pPr>
            <w:r w:rsidRPr="00290107">
              <w:rPr>
                <w:b/>
                <w:sz w:val="20"/>
                <w:szCs w:val="20"/>
              </w:rPr>
              <w:t>Directed Follow up</w:t>
            </w: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The Program Evaluation Committee must evaluate the program’s mission and aims [CPR V.C.1.d)]</w:t>
            </w:r>
          </w:p>
        </w:tc>
        <w:tc>
          <w:tcPr>
            <w:tcW w:w="4790" w:type="dxa"/>
          </w:tcPr>
          <w:p w:rsidR="00DB3B3E" w:rsidRPr="00290107" w:rsidRDefault="00A0506C" w:rsidP="00257C5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review of the mission and aims at the outset of your APE sets the framework for ensuring that the program is effective in meeting its mission.</w:t>
            </w:r>
          </w:p>
        </w:tc>
        <w:tc>
          <w:tcPr>
            <w:tcW w:w="4790" w:type="dxa"/>
          </w:tcPr>
          <w:p w:rsidR="00DB3B3E" w:rsidRPr="00290107" w:rsidRDefault="00A0506C" w:rsidP="00257C5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For all items below, b</w:t>
            </w:r>
            <w:r w:rsidRPr="00290107">
              <w:rPr>
                <w:i/>
                <w:color w:val="FF0000"/>
                <w:sz w:val="20"/>
                <w:szCs w:val="20"/>
              </w:rPr>
              <w:t>e specific in timeline, measurable outcomes, and responsible parties for all items.</w:t>
            </w:r>
          </w:p>
        </w:tc>
      </w:tr>
      <w:tr w:rsidR="00C16364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C16364" w:rsidRPr="00C16364" w:rsidRDefault="00C16364" w:rsidP="00C16364">
            <w:p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Curriculum [CPR V.C.1.c).(1)]</w:t>
            </w:r>
          </w:p>
        </w:tc>
        <w:tc>
          <w:tcPr>
            <w:tcW w:w="4790" w:type="dxa"/>
          </w:tcPr>
          <w:p w:rsidR="00C16364" w:rsidRPr="00290107" w:rsidRDefault="00DD3A36" w:rsidP="00C16364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May include review of the didactic, curricular components of the academic year and areas for improvement including low performing areas on ITE.</w:t>
            </w:r>
          </w:p>
        </w:tc>
        <w:tc>
          <w:tcPr>
            <w:tcW w:w="4790" w:type="dxa"/>
          </w:tcPr>
          <w:p w:rsidR="00C16364" w:rsidRPr="00290107" w:rsidRDefault="00C16364" w:rsidP="00C16364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Outcomes from prior Annual Program Evaluation(s)</w:t>
            </w:r>
            <w:r>
              <w:rPr>
                <w:sz w:val="20"/>
                <w:szCs w:val="20"/>
              </w:rPr>
              <w:t xml:space="preserve"> and PEC Minutes</w:t>
            </w:r>
            <w:r w:rsidRPr="00C16364">
              <w:rPr>
                <w:sz w:val="20"/>
                <w:szCs w:val="20"/>
              </w:rPr>
              <w:t xml:space="preserve"> [CPR V.C.1.c).(2)]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Brief description of the pertinent discussion points.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ACGME letters of noti</w:t>
            </w:r>
            <w:r w:rsidR="00A0506C">
              <w:rPr>
                <w:sz w:val="20"/>
                <w:szCs w:val="20"/>
              </w:rPr>
              <w:t>fication, including citations, A</w:t>
            </w:r>
            <w:r w:rsidRPr="00C16364">
              <w:rPr>
                <w:sz w:val="20"/>
                <w:szCs w:val="20"/>
              </w:rPr>
              <w:t>reas for Improvement, and comments</w:t>
            </w:r>
            <w:r w:rsidR="00A0506C">
              <w:rPr>
                <w:sz w:val="20"/>
                <w:szCs w:val="20"/>
              </w:rPr>
              <w:t>.</w:t>
            </w:r>
            <w:r w:rsidRPr="00C163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C16364">
              <w:rPr>
                <w:sz w:val="20"/>
                <w:szCs w:val="20"/>
              </w:rPr>
              <w:t>[CPR V.C.1.c).(3)]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Specifically itemize and address any citations or areas of improvement.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Quality and safety of patient care [CPR V.C.1.c).(4)]</w:t>
            </w:r>
          </w:p>
        </w:tc>
        <w:tc>
          <w:tcPr>
            <w:tcW w:w="4790" w:type="dxa"/>
          </w:tcPr>
          <w:p w:rsidR="00DB3B3E" w:rsidRPr="00290107" w:rsidRDefault="00DD3A36" w:rsidP="00DB3B3E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Departmental or institutional data on specific initiatives may be briefly discussed.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Aggregate resident and faculty: [CPR V.C.1.c).(5)]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5"/>
              </w:numPr>
              <w:ind w:left="720"/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well-being</w:t>
            </w:r>
          </w:p>
        </w:tc>
        <w:tc>
          <w:tcPr>
            <w:tcW w:w="4790" w:type="dxa"/>
          </w:tcPr>
          <w:p w:rsidR="00DB3B3E" w:rsidRPr="00290107" w:rsidRDefault="00DD3A36" w:rsidP="00DB3B3E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May include review of wellbeing data from ACGME as well as an assessment of ongoing departmental and institutional initiatives as well as plan for coming academic year.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5"/>
              </w:numPr>
              <w:ind w:left="720"/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lastRenderedPageBreak/>
              <w:t>recruitment and retention</w:t>
            </w:r>
          </w:p>
        </w:tc>
        <w:tc>
          <w:tcPr>
            <w:tcW w:w="4790" w:type="dxa"/>
          </w:tcPr>
          <w:p w:rsidR="00DB3B3E" w:rsidRPr="00290107" w:rsidRDefault="00DD3A36" w:rsidP="00DD3A3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Review of recruitment data such as number of applications, interviews, etc.</w:t>
            </w:r>
            <w:r w:rsidR="00816693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Should also include review of </w:t>
            </w:r>
            <w:r w:rsidR="00756862">
              <w:rPr>
                <w:i/>
                <w:color w:val="FF0000"/>
                <w:sz w:val="20"/>
                <w:szCs w:val="20"/>
              </w:rPr>
              <w:t>retention of current resident group.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5"/>
              </w:numPr>
              <w:ind w:left="720"/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workforce diversity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Summary data of diversity in faculty and resident workforce.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5"/>
              </w:numPr>
              <w:ind w:left="720"/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engagement in quality improvement and patient safety</w:t>
            </w:r>
          </w:p>
        </w:tc>
        <w:tc>
          <w:tcPr>
            <w:tcW w:w="4790" w:type="dxa"/>
          </w:tcPr>
          <w:p w:rsidR="00DB3B3E" w:rsidRPr="00290107" w:rsidRDefault="00756862" w:rsidP="00DB3B3E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Brief summary of ongoing or completed projects from residents and faculty over the last academic year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5"/>
              </w:numPr>
              <w:ind w:left="720"/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scholarly activity</w:t>
            </w:r>
          </w:p>
        </w:tc>
        <w:tc>
          <w:tcPr>
            <w:tcW w:w="4790" w:type="dxa"/>
          </w:tcPr>
          <w:p w:rsidR="00DB3B3E" w:rsidRPr="00290107" w:rsidRDefault="00DB3B3E" w:rsidP="00756862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Brief summary of scholarly activity</w:t>
            </w:r>
            <w:r w:rsidR="00756862">
              <w:rPr>
                <w:i/>
                <w:color w:val="FF0000"/>
                <w:sz w:val="20"/>
                <w:szCs w:val="20"/>
              </w:rPr>
              <w:t xml:space="preserve"> ongoing or completed</w:t>
            </w:r>
            <w:r w:rsidRPr="00290107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756862">
              <w:rPr>
                <w:i/>
                <w:color w:val="FF0000"/>
                <w:sz w:val="20"/>
                <w:szCs w:val="20"/>
              </w:rPr>
              <w:t>for residents and faculty over the last academic year.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5"/>
              </w:numPr>
              <w:ind w:left="720"/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ACGME Resident and Faculty Surveys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Itemize underperforming areas and discussion of root cause analysis.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5"/>
              </w:numPr>
              <w:ind w:left="720"/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written evaluations of the program</w:t>
            </w:r>
          </w:p>
        </w:tc>
        <w:tc>
          <w:tcPr>
            <w:tcW w:w="4790" w:type="dxa"/>
          </w:tcPr>
          <w:p w:rsidR="00DB3B3E" w:rsidRPr="00CC477A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Program internal surveys can be discussed here, if applicable.</w:t>
            </w:r>
            <w:r>
              <w:rPr>
                <w:i/>
                <w:color w:val="FF0000"/>
                <w:sz w:val="20"/>
                <w:szCs w:val="20"/>
              </w:rPr>
              <w:t xml:space="preserve"> Other items to be reviewed includes resident evaluation of </w:t>
            </w:r>
            <w:r w:rsidRPr="00290107">
              <w:rPr>
                <w:i/>
                <w:color w:val="FF0000"/>
                <w:sz w:val="20"/>
                <w:szCs w:val="20"/>
              </w:rPr>
              <w:t>rotation</w:t>
            </w:r>
            <w:r>
              <w:rPr>
                <w:i/>
                <w:color w:val="FF0000"/>
                <w:sz w:val="20"/>
                <w:szCs w:val="20"/>
              </w:rPr>
              <w:t>s including</w:t>
            </w:r>
            <w:r w:rsidR="00816693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290107">
              <w:rPr>
                <w:i/>
                <w:color w:val="FF0000"/>
                <w:sz w:val="20"/>
                <w:szCs w:val="20"/>
              </w:rPr>
              <w:t>performance and identif</w:t>
            </w:r>
            <w:r>
              <w:rPr>
                <w:i/>
                <w:color w:val="FF0000"/>
                <w:sz w:val="20"/>
                <w:szCs w:val="20"/>
              </w:rPr>
              <w:t>ication of</w:t>
            </w:r>
            <w:r w:rsidRPr="00290107">
              <w:rPr>
                <w:i/>
                <w:color w:val="FF0000"/>
                <w:sz w:val="20"/>
                <w:szCs w:val="20"/>
              </w:rPr>
              <w:t xml:space="preserve"> any underperformers.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16364">
              <w:rPr>
                <w:sz w:val="20"/>
                <w:szCs w:val="20"/>
              </w:rPr>
              <w:t>ggregate resident: [CPR V.C.1.c).(6)]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achievement of the Milestones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 xml:space="preserve">Composite </w:t>
            </w:r>
            <w:r>
              <w:rPr>
                <w:i/>
                <w:color w:val="FF0000"/>
                <w:sz w:val="20"/>
                <w:szCs w:val="20"/>
              </w:rPr>
              <w:t>M</w:t>
            </w:r>
            <w:r w:rsidRPr="00290107">
              <w:rPr>
                <w:i/>
                <w:color w:val="FF0000"/>
                <w:sz w:val="20"/>
                <w:szCs w:val="20"/>
              </w:rPr>
              <w:t>ilestone data for graduating residents.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in-training examinations (where applicable)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Review composite performance of trainees and any areas for improvement in curricular components based on results.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board pass and certification rates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</w:t>
            </w:r>
            <w:r w:rsidRPr="00290107">
              <w:rPr>
                <w:i/>
                <w:color w:val="FF0000"/>
                <w:sz w:val="20"/>
                <w:szCs w:val="20"/>
              </w:rPr>
              <w:t xml:space="preserve">nclude </w:t>
            </w:r>
            <w:r>
              <w:rPr>
                <w:i/>
                <w:color w:val="FF0000"/>
                <w:sz w:val="20"/>
                <w:szCs w:val="20"/>
              </w:rPr>
              <w:t xml:space="preserve">3-year </w:t>
            </w:r>
            <w:r w:rsidRPr="00290107">
              <w:rPr>
                <w:i/>
                <w:color w:val="FF0000"/>
                <w:sz w:val="20"/>
                <w:szCs w:val="20"/>
              </w:rPr>
              <w:t>board pass rates for written and oral, if applicable.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graduate performance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May include discussion of fellowships matched</w:t>
            </w:r>
            <w:r>
              <w:rPr>
                <w:i/>
                <w:color w:val="FF0000"/>
                <w:sz w:val="20"/>
                <w:szCs w:val="20"/>
              </w:rPr>
              <w:t xml:space="preserve"> or employment outcomes (alumni survey).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C477A" w:rsidRDefault="00756862" w:rsidP="00DB3B3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duty hour c</w:t>
            </w:r>
            <w:r w:rsidR="00DB3B3E" w:rsidRPr="00CC477A">
              <w:rPr>
                <w:sz w:val="20"/>
                <w:szCs w:val="20"/>
              </w:rPr>
              <w:t>ompliance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Review annual data to evaluate if violations occurring on particular rotations and possible solutions for improving.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C477A" w:rsidRDefault="00756862" w:rsidP="00DB3B3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DB3B3E" w:rsidRPr="00CC477A">
              <w:rPr>
                <w:sz w:val="20"/>
                <w:szCs w:val="20"/>
              </w:rPr>
              <w:t>raduate Case Logs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If applicable, review ACGME graduate case log report to evaluate minimum requirements and compare to national data (percentile) to identify areas of need or improvement.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Pr="00C16364">
              <w:rPr>
                <w:sz w:val="20"/>
                <w:szCs w:val="20"/>
              </w:rPr>
              <w:t>ggregate faculty</w:t>
            </w:r>
            <w:r>
              <w:rPr>
                <w:sz w:val="20"/>
                <w:szCs w:val="20"/>
              </w:rPr>
              <w:t xml:space="preserve"> evaluation and professional development</w:t>
            </w:r>
            <w:r w:rsidRPr="00C16364">
              <w:rPr>
                <w:sz w:val="20"/>
                <w:szCs w:val="20"/>
              </w:rPr>
              <w:t xml:space="preserve"> [CPR V.C.1.c).(7)]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  <w:r w:rsidRPr="00290107">
              <w:rPr>
                <w:i/>
                <w:color w:val="FF0000"/>
                <w:sz w:val="20"/>
                <w:szCs w:val="20"/>
              </w:rPr>
              <w:t>Review composite faculty evaluation.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290107">
              <w:rPr>
                <w:i/>
                <w:color w:val="FF0000"/>
                <w:sz w:val="20"/>
                <w:szCs w:val="20"/>
              </w:rPr>
              <w:t>Do not need to review individual faculty evaluations in this venue.</w:t>
            </w:r>
            <w:r w:rsidR="00816693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A40509">
              <w:rPr>
                <w:i/>
                <w:color w:val="FF0000"/>
                <w:sz w:val="20"/>
                <w:szCs w:val="20"/>
              </w:rPr>
              <w:t>Provide brief summary of faculty development sessions that faculty participated in at departmental, institutional, or national level.</w:t>
            </w:r>
          </w:p>
        </w:tc>
        <w:tc>
          <w:tcPr>
            <w:tcW w:w="4790" w:type="dxa"/>
          </w:tcPr>
          <w:p w:rsidR="00DB3B3E" w:rsidRPr="00290107" w:rsidRDefault="00DB3B3E" w:rsidP="00DB3B3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DB3B3E" w:rsidRPr="00290107" w:rsidTr="00816693">
        <w:trPr>
          <w:cantSplit/>
        </w:trPr>
        <w:tc>
          <w:tcPr>
            <w:tcW w:w="4790" w:type="dxa"/>
            <w:shd w:val="clear" w:color="auto" w:fill="auto"/>
          </w:tcPr>
          <w:p w:rsidR="00DB3B3E" w:rsidRPr="00C16364" w:rsidRDefault="00DB3B3E" w:rsidP="00DB3B3E">
            <w:pPr>
              <w:rPr>
                <w:sz w:val="20"/>
                <w:szCs w:val="20"/>
              </w:rPr>
            </w:pPr>
            <w:r w:rsidRPr="00C16364">
              <w:rPr>
                <w:sz w:val="20"/>
                <w:szCs w:val="20"/>
              </w:rPr>
              <w:t>The Program Evaluation Committee must evaluate the program’s strengths, areas for improvement, and threats. [CPR V.C.1.d)]</w:t>
            </w:r>
          </w:p>
        </w:tc>
        <w:tc>
          <w:tcPr>
            <w:tcW w:w="4790" w:type="dxa"/>
          </w:tcPr>
          <w:p w:rsidR="00DB3B3E" w:rsidRPr="00290107" w:rsidRDefault="00EC38E3" w:rsidP="00257C5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Summarize areas of strength, areas for improvement, possible obstacles or threats to the program.</w:t>
            </w:r>
            <w:r w:rsidR="00816693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90" w:type="dxa"/>
          </w:tcPr>
          <w:p w:rsidR="00DB3B3E" w:rsidRPr="00290107" w:rsidRDefault="00DB3B3E" w:rsidP="00257C56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412EA5" w:rsidRPr="00DA6CCE" w:rsidRDefault="00412EA5" w:rsidP="00DA6CCE">
      <w:bookmarkStart w:id="0" w:name="_GoBack"/>
      <w:bookmarkEnd w:id="0"/>
    </w:p>
    <w:sectPr w:rsidR="00412EA5" w:rsidRPr="00DA6CCE" w:rsidSect="004940E1">
      <w:headerReference w:type="default" r:id="rId7"/>
      <w:footerReference w:type="default" r:id="rId8"/>
      <w:type w:val="continuous"/>
      <w:pgSz w:w="15840" w:h="12240" w:orient="landscape" w:code="1"/>
      <w:pgMar w:top="1440" w:right="720" w:bottom="14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80" w:rsidRDefault="00616D80" w:rsidP="00DA6CCE">
      <w:r>
        <w:separator/>
      </w:r>
    </w:p>
  </w:endnote>
  <w:endnote w:type="continuationSeparator" w:id="0">
    <w:p w:rsidR="00616D80" w:rsidRDefault="00616D80" w:rsidP="00DA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10" w:rsidRDefault="00E81610" w:rsidP="00E81610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A0AB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A0AB0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80" w:rsidRDefault="00616D80" w:rsidP="00DA6CCE">
      <w:r>
        <w:separator/>
      </w:r>
    </w:p>
  </w:footnote>
  <w:footnote w:type="continuationSeparator" w:id="0">
    <w:p w:rsidR="00616D80" w:rsidRDefault="00616D80" w:rsidP="00DA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92" w:rsidRDefault="00A05B92" w:rsidP="00A05B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2ADA"/>
    <w:multiLevelType w:val="hybridMultilevel"/>
    <w:tmpl w:val="4EEC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DF2"/>
    <w:multiLevelType w:val="hybridMultilevel"/>
    <w:tmpl w:val="F33AA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71F3B"/>
    <w:multiLevelType w:val="hybridMultilevel"/>
    <w:tmpl w:val="A3DA6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1AA"/>
    <w:multiLevelType w:val="hybridMultilevel"/>
    <w:tmpl w:val="B472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569A"/>
    <w:multiLevelType w:val="hybridMultilevel"/>
    <w:tmpl w:val="2818A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6408"/>
    <w:multiLevelType w:val="hybridMultilevel"/>
    <w:tmpl w:val="96F80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246E"/>
    <w:multiLevelType w:val="hybridMultilevel"/>
    <w:tmpl w:val="F0826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E0D1D"/>
    <w:multiLevelType w:val="hybridMultilevel"/>
    <w:tmpl w:val="A8402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F5DDD"/>
    <w:multiLevelType w:val="hybridMultilevel"/>
    <w:tmpl w:val="4E043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322D"/>
    <w:multiLevelType w:val="hybridMultilevel"/>
    <w:tmpl w:val="6124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47C23"/>
    <w:multiLevelType w:val="hybridMultilevel"/>
    <w:tmpl w:val="3AB0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AC7"/>
    <w:multiLevelType w:val="hybridMultilevel"/>
    <w:tmpl w:val="9FFAA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7C00"/>
    <w:multiLevelType w:val="hybridMultilevel"/>
    <w:tmpl w:val="869A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858F6"/>
    <w:multiLevelType w:val="hybridMultilevel"/>
    <w:tmpl w:val="CA5E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55AE5"/>
    <w:multiLevelType w:val="hybridMultilevel"/>
    <w:tmpl w:val="B8646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676F1"/>
    <w:multiLevelType w:val="hybridMultilevel"/>
    <w:tmpl w:val="A82AD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32309"/>
    <w:multiLevelType w:val="hybridMultilevel"/>
    <w:tmpl w:val="9CB20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3A25"/>
    <w:multiLevelType w:val="hybridMultilevel"/>
    <w:tmpl w:val="94AAA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5A3C"/>
    <w:multiLevelType w:val="hybridMultilevel"/>
    <w:tmpl w:val="12A22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42485"/>
    <w:multiLevelType w:val="hybridMultilevel"/>
    <w:tmpl w:val="84648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144B4"/>
    <w:multiLevelType w:val="hybridMultilevel"/>
    <w:tmpl w:val="2430D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46C00"/>
    <w:multiLevelType w:val="hybridMultilevel"/>
    <w:tmpl w:val="F0661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1498"/>
    <w:multiLevelType w:val="hybridMultilevel"/>
    <w:tmpl w:val="72F0E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EC7CDC"/>
    <w:multiLevelType w:val="hybridMultilevel"/>
    <w:tmpl w:val="B7B67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9034D"/>
    <w:multiLevelType w:val="hybridMultilevel"/>
    <w:tmpl w:val="A7B07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C0868"/>
    <w:multiLevelType w:val="hybridMultilevel"/>
    <w:tmpl w:val="9AA4F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01BF5"/>
    <w:multiLevelType w:val="hybridMultilevel"/>
    <w:tmpl w:val="6F605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930C47"/>
    <w:multiLevelType w:val="hybridMultilevel"/>
    <w:tmpl w:val="4044D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20"/>
  </w:num>
  <w:num w:numId="5">
    <w:abstractNumId w:val="23"/>
  </w:num>
  <w:num w:numId="6">
    <w:abstractNumId w:val="16"/>
  </w:num>
  <w:num w:numId="7">
    <w:abstractNumId w:val="15"/>
  </w:num>
  <w:num w:numId="8">
    <w:abstractNumId w:val="4"/>
  </w:num>
  <w:num w:numId="9">
    <w:abstractNumId w:val="13"/>
  </w:num>
  <w:num w:numId="10">
    <w:abstractNumId w:val="27"/>
  </w:num>
  <w:num w:numId="11">
    <w:abstractNumId w:val="2"/>
  </w:num>
  <w:num w:numId="12">
    <w:abstractNumId w:val="19"/>
  </w:num>
  <w:num w:numId="13">
    <w:abstractNumId w:val="8"/>
  </w:num>
  <w:num w:numId="14">
    <w:abstractNumId w:val="26"/>
  </w:num>
  <w:num w:numId="15">
    <w:abstractNumId w:val="6"/>
  </w:num>
  <w:num w:numId="16">
    <w:abstractNumId w:val="12"/>
  </w:num>
  <w:num w:numId="17">
    <w:abstractNumId w:val="25"/>
  </w:num>
  <w:num w:numId="18">
    <w:abstractNumId w:val="24"/>
  </w:num>
  <w:num w:numId="19">
    <w:abstractNumId w:val="7"/>
  </w:num>
  <w:num w:numId="20">
    <w:abstractNumId w:val="14"/>
  </w:num>
  <w:num w:numId="21">
    <w:abstractNumId w:val="21"/>
  </w:num>
  <w:num w:numId="22">
    <w:abstractNumId w:val="18"/>
  </w:num>
  <w:num w:numId="23">
    <w:abstractNumId w:val="17"/>
  </w:num>
  <w:num w:numId="24">
    <w:abstractNumId w:val="0"/>
  </w:num>
  <w:num w:numId="25">
    <w:abstractNumId w:val="1"/>
  </w:num>
  <w:num w:numId="26">
    <w:abstractNumId w:val="9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57"/>
    <w:rsid w:val="00016617"/>
    <w:rsid w:val="00036F6A"/>
    <w:rsid w:val="00047785"/>
    <w:rsid w:val="00050A9F"/>
    <w:rsid w:val="00060B05"/>
    <w:rsid w:val="000623DC"/>
    <w:rsid w:val="0006422D"/>
    <w:rsid w:val="000700C5"/>
    <w:rsid w:val="00074758"/>
    <w:rsid w:val="00091044"/>
    <w:rsid w:val="000A2999"/>
    <w:rsid w:val="000A5D4E"/>
    <w:rsid w:val="000B0CD5"/>
    <w:rsid w:val="000C314B"/>
    <w:rsid w:val="000E0AA5"/>
    <w:rsid w:val="000E2256"/>
    <w:rsid w:val="000E490C"/>
    <w:rsid w:val="000F2FFF"/>
    <w:rsid w:val="00110A1A"/>
    <w:rsid w:val="00113CA0"/>
    <w:rsid w:val="00122312"/>
    <w:rsid w:val="00125D5E"/>
    <w:rsid w:val="00134BC4"/>
    <w:rsid w:val="001365BD"/>
    <w:rsid w:val="00144FDE"/>
    <w:rsid w:val="00165624"/>
    <w:rsid w:val="001A0AB0"/>
    <w:rsid w:val="001A4A95"/>
    <w:rsid w:val="001B113B"/>
    <w:rsid w:val="001B40BA"/>
    <w:rsid w:val="001B61FB"/>
    <w:rsid w:val="001B6CB1"/>
    <w:rsid w:val="001B7E28"/>
    <w:rsid w:val="001D132E"/>
    <w:rsid w:val="001D3DEE"/>
    <w:rsid w:val="001E1D9D"/>
    <w:rsid w:val="001F145A"/>
    <w:rsid w:val="0020646F"/>
    <w:rsid w:val="00212C84"/>
    <w:rsid w:val="00223019"/>
    <w:rsid w:val="00223089"/>
    <w:rsid w:val="0022684B"/>
    <w:rsid w:val="00246259"/>
    <w:rsid w:val="00246C54"/>
    <w:rsid w:val="00256C98"/>
    <w:rsid w:val="002579F4"/>
    <w:rsid w:val="00266FE6"/>
    <w:rsid w:val="00274A05"/>
    <w:rsid w:val="00275250"/>
    <w:rsid w:val="00276809"/>
    <w:rsid w:val="00277424"/>
    <w:rsid w:val="0028655A"/>
    <w:rsid w:val="00290107"/>
    <w:rsid w:val="002901A0"/>
    <w:rsid w:val="00292898"/>
    <w:rsid w:val="00294D68"/>
    <w:rsid w:val="002B7001"/>
    <w:rsid w:val="002C064E"/>
    <w:rsid w:val="002E2FB3"/>
    <w:rsid w:val="002E383B"/>
    <w:rsid w:val="002E5CBE"/>
    <w:rsid w:val="002F0331"/>
    <w:rsid w:val="00300769"/>
    <w:rsid w:val="0030504F"/>
    <w:rsid w:val="00305322"/>
    <w:rsid w:val="00313DFC"/>
    <w:rsid w:val="003200F5"/>
    <w:rsid w:val="00321A43"/>
    <w:rsid w:val="0033080A"/>
    <w:rsid w:val="0033445C"/>
    <w:rsid w:val="00345006"/>
    <w:rsid w:val="00386D12"/>
    <w:rsid w:val="003B4D0C"/>
    <w:rsid w:val="003B5CB0"/>
    <w:rsid w:val="003B62E9"/>
    <w:rsid w:val="003D0A24"/>
    <w:rsid w:val="003D2F19"/>
    <w:rsid w:val="003E5A9C"/>
    <w:rsid w:val="003E6B3F"/>
    <w:rsid w:val="003E6DA8"/>
    <w:rsid w:val="003F35C5"/>
    <w:rsid w:val="003F549D"/>
    <w:rsid w:val="003F58D1"/>
    <w:rsid w:val="004039F3"/>
    <w:rsid w:val="00412EA5"/>
    <w:rsid w:val="00456938"/>
    <w:rsid w:val="0046084A"/>
    <w:rsid w:val="00461361"/>
    <w:rsid w:val="00471119"/>
    <w:rsid w:val="00475CF1"/>
    <w:rsid w:val="00482EA9"/>
    <w:rsid w:val="00484303"/>
    <w:rsid w:val="00492D7D"/>
    <w:rsid w:val="004940E1"/>
    <w:rsid w:val="00494F9D"/>
    <w:rsid w:val="004A6448"/>
    <w:rsid w:val="004B5980"/>
    <w:rsid w:val="004B5ACB"/>
    <w:rsid w:val="004C4F53"/>
    <w:rsid w:val="004E5D17"/>
    <w:rsid w:val="004F25AD"/>
    <w:rsid w:val="004F6A1A"/>
    <w:rsid w:val="00521227"/>
    <w:rsid w:val="00522157"/>
    <w:rsid w:val="00526903"/>
    <w:rsid w:val="00527DF5"/>
    <w:rsid w:val="00544CA3"/>
    <w:rsid w:val="005505D5"/>
    <w:rsid w:val="0055609B"/>
    <w:rsid w:val="005612F3"/>
    <w:rsid w:val="005658C7"/>
    <w:rsid w:val="0057560C"/>
    <w:rsid w:val="00575F9E"/>
    <w:rsid w:val="0057680E"/>
    <w:rsid w:val="0058594C"/>
    <w:rsid w:val="00587F4D"/>
    <w:rsid w:val="005923B9"/>
    <w:rsid w:val="005A133D"/>
    <w:rsid w:val="005A2B55"/>
    <w:rsid w:val="005A3AB4"/>
    <w:rsid w:val="005B2BB6"/>
    <w:rsid w:val="005B5F0E"/>
    <w:rsid w:val="005C44F9"/>
    <w:rsid w:val="005C6D65"/>
    <w:rsid w:val="005C7032"/>
    <w:rsid w:val="005D3B3F"/>
    <w:rsid w:val="005D5852"/>
    <w:rsid w:val="005E11B9"/>
    <w:rsid w:val="005E2B26"/>
    <w:rsid w:val="005E3433"/>
    <w:rsid w:val="005E5C8E"/>
    <w:rsid w:val="005F5547"/>
    <w:rsid w:val="005F63C7"/>
    <w:rsid w:val="0060465C"/>
    <w:rsid w:val="00613E1D"/>
    <w:rsid w:val="00615A94"/>
    <w:rsid w:val="00616D80"/>
    <w:rsid w:val="006250C7"/>
    <w:rsid w:val="00625D08"/>
    <w:rsid w:val="00630467"/>
    <w:rsid w:val="00631969"/>
    <w:rsid w:val="006376BE"/>
    <w:rsid w:val="00644639"/>
    <w:rsid w:val="00651007"/>
    <w:rsid w:val="0066335D"/>
    <w:rsid w:val="0067155F"/>
    <w:rsid w:val="00672EBC"/>
    <w:rsid w:val="00681EA7"/>
    <w:rsid w:val="00683E3D"/>
    <w:rsid w:val="0068686B"/>
    <w:rsid w:val="0069176E"/>
    <w:rsid w:val="006938C8"/>
    <w:rsid w:val="006A0B16"/>
    <w:rsid w:val="006A223C"/>
    <w:rsid w:val="006A391B"/>
    <w:rsid w:val="006B277D"/>
    <w:rsid w:val="006B5FB4"/>
    <w:rsid w:val="006C4834"/>
    <w:rsid w:val="0070692A"/>
    <w:rsid w:val="007072D1"/>
    <w:rsid w:val="00710068"/>
    <w:rsid w:val="00713D33"/>
    <w:rsid w:val="00725505"/>
    <w:rsid w:val="00734D2E"/>
    <w:rsid w:val="00740AFB"/>
    <w:rsid w:val="007521AA"/>
    <w:rsid w:val="00753D47"/>
    <w:rsid w:val="00756862"/>
    <w:rsid w:val="007678C2"/>
    <w:rsid w:val="00772572"/>
    <w:rsid w:val="007A5B70"/>
    <w:rsid w:val="007C212E"/>
    <w:rsid w:val="007D0BC2"/>
    <w:rsid w:val="007D0E48"/>
    <w:rsid w:val="007E0D6D"/>
    <w:rsid w:val="007E3BFF"/>
    <w:rsid w:val="007E6E7D"/>
    <w:rsid w:val="007F089D"/>
    <w:rsid w:val="007F3009"/>
    <w:rsid w:val="008102E2"/>
    <w:rsid w:val="00816693"/>
    <w:rsid w:val="00823C7F"/>
    <w:rsid w:val="0083097B"/>
    <w:rsid w:val="0083702A"/>
    <w:rsid w:val="00865A41"/>
    <w:rsid w:val="00875CC2"/>
    <w:rsid w:val="008771D0"/>
    <w:rsid w:val="00884FCC"/>
    <w:rsid w:val="00894A1F"/>
    <w:rsid w:val="00895E43"/>
    <w:rsid w:val="008A530B"/>
    <w:rsid w:val="008B08F0"/>
    <w:rsid w:val="008B5060"/>
    <w:rsid w:val="008C1850"/>
    <w:rsid w:val="008D64F5"/>
    <w:rsid w:val="008E0B18"/>
    <w:rsid w:val="008E1D33"/>
    <w:rsid w:val="008E322B"/>
    <w:rsid w:val="008E71E4"/>
    <w:rsid w:val="008F5498"/>
    <w:rsid w:val="008F656A"/>
    <w:rsid w:val="009025CD"/>
    <w:rsid w:val="00917031"/>
    <w:rsid w:val="00920236"/>
    <w:rsid w:val="0092305B"/>
    <w:rsid w:val="00940E9A"/>
    <w:rsid w:val="0094263B"/>
    <w:rsid w:val="00957150"/>
    <w:rsid w:val="00965A06"/>
    <w:rsid w:val="00972F74"/>
    <w:rsid w:val="00975C9B"/>
    <w:rsid w:val="00983B19"/>
    <w:rsid w:val="00987982"/>
    <w:rsid w:val="009B2B4B"/>
    <w:rsid w:val="009B6C41"/>
    <w:rsid w:val="009C038C"/>
    <w:rsid w:val="009D36C7"/>
    <w:rsid w:val="009F28F4"/>
    <w:rsid w:val="009F2E46"/>
    <w:rsid w:val="009F44ED"/>
    <w:rsid w:val="009F5FDA"/>
    <w:rsid w:val="009F7C38"/>
    <w:rsid w:val="00A00946"/>
    <w:rsid w:val="00A0506C"/>
    <w:rsid w:val="00A05B92"/>
    <w:rsid w:val="00A118F2"/>
    <w:rsid w:val="00A127D1"/>
    <w:rsid w:val="00A1282E"/>
    <w:rsid w:val="00A2169B"/>
    <w:rsid w:val="00A40509"/>
    <w:rsid w:val="00A41CA8"/>
    <w:rsid w:val="00A456B8"/>
    <w:rsid w:val="00A51D49"/>
    <w:rsid w:val="00A6027A"/>
    <w:rsid w:val="00A83ECA"/>
    <w:rsid w:val="00A90364"/>
    <w:rsid w:val="00A91A06"/>
    <w:rsid w:val="00A94B86"/>
    <w:rsid w:val="00A9793F"/>
    <w:rsid w:val="00AA264D"/>
    <w:rsid w:val="00AA3C18"/>
    <w:rsid w:val="00AA631D"/>
    <w:rsid w:val="00AA6348"/>
    <w:rsid w:val="00AC153E"/>
    <w:rsid w:val="00AC318C"/>
    <w:rsid w:val="00AC7E53"/>
    <w:rsid w:val="00AE0E11"/>
    <w:rsid w:val="00AE2EF4"/>
    <w:rsid w:val="00AE611C"/>
    <w:rsid w:val="00AF3EEB"/>
    <w:rsid w:val="00AF51E8"/>
    <w:rsid w:val="00AF54E6"/>
    <w:rsid w:val="00B03193"/>
    <w:rsid w:val="00B3303E"/>
    <w:rsid w:val="00B35AE6"/>
    <w:rsid w:val="00B42A78"/>
    <w:rsid w:val="00B446B6"/>
    <w:rsid w:val="00B459CE"/>
    <w:rsid w:val="00B9468A"/>
    <w:rsid w:val="00BA6519"/>
    <w:rsid w:val="00BB64C7"/>
    <w:rsid w:val="00BC3EC6"/>
    <w:rsid w:val="00BE257A"/>
    <w:rsid w:val="00C15954"/>
    <w:rsid w:val="00C16364"/>
    <w:rsid w:val="00C41532"/>
    <w:rsid w:val="00C5092B"/>
    <w:rsid w:val="00C57373"/>
    <w:rsid w:val="00C83B6E"/>
    <w:rsid w:val="00C923E1"/>
    <w:rsid w:val="00C949C4"/>
    <w:rsid w:val="00CA0FD5"/>
    <w:rsid w:val="00CC11EF"/>
    <w:rsid w:val="00CC477A"/>
    <w:rsid w:val="00CD0B74"/>
    <w:rsid w:val="00CD5579"/>
    <w:rsid w:val="00CD7FD2"/>
    <w:rsid w:val="00CE665F"/>
    <w:rsid w:val="00CF32B5"/>
    <w:rsid w:val="00D1424C"/>
    <w:rsid w:val="00D25941"/>
    <w:rsid w:val="00D27DFC"/>
    <w:rsid w:val="00D42368"/>
    <w:rsid w:val="00D5145D"/>
    <w:rsid w:val="00D52FC4"/>
    <w:rsid w:val="00D724AB"/>
    <w:rsid w:val="00D7601B"/>
    <w:rsid w:val="00D94D5B"/>
    <w:rsid w:val="00D95D3D"/>
    <w:rsid w:val="00DA03E9"/>
    <w:rsid w:val="00DA24A6"/>
    <w:rsid w:val="00DA3CFA"/>
    <w:rsid w:val="00DA6CCE"/>
    <w:rsid w:val="00DB19EA"/>
    <w:rsid w:val="00DB3B3E"/>
    <w:rsid w:val="00DC27C2"/>
    <w:rsid w:val="00DC389E"/>
    <w:rsid w:val="00DD3A36"/>
    <w:rsid w:val="00DE251B"/>
    <w:rsid w:val="00DF167B"/>
    <w:rsid w:val="00DF2584"/>
    <w:rsid w:val="00DF577A"/>
    <w:rsid w:val="00DF59C5"/>
    <w:rsid w:val="00E13D29"/>
    <w:rsid w:val="00E14F85"/>
    <w:rsid w:val="00E1756B"/>
    <w:rsid w:val="00E246B3"/>
    <w:rsid w:val="00E33399"/>
    <w:rsid w:val="00E36FBC"/>
    <w:rsid w:val="00E3787A"/>
    <w:rsid w:val="00E535C4"/>
    <w:rsid w:val="00E64E52"/>
    <w:rsid w:val="00E774F6"/>
    <w:rsid w:val="00E81610"/>
    <w:rsid w:val="00E866B1"/>
    <w:rsid w:val="00E92539"/>
    <w:rsid w:val="00EA5778"/>
    <w:rsid w:val="00EB4F96"/>
    <w:rsid w:val="00EC0297"/>
    <w:rsid w:val="00EC38E3"/>
    <w:rsid w:val="00EC69B7"/>
    <w:rsid w:val="00ED0272"/>
    <w:rsid w:val="00EF21BB"/>
    <w:rsid w:val="00F07213"/>
    <w:rsid w:val="00F15EF8"/>
    <w:rsid w:val="00F17077"/>
    <w:rsid w:val="00F21DDB"/>
    <w:rsid w:val="00F244C1"/>
    <w:rsid w:val="00F322BB"/>
    <w:rsid w:val="00F3531A"/>
    <w:rsid w:val="00F40248"/>
    <w:rsid w:val="00F44C33"/>
    <w:rsid w:val="00F47122"/>
    <w:rsid w:val="00F52C29"/>
    <w:rsid w:val="00F57B7D"/>
    <w:rsid w:val="00F608BF"/>
    <w:rsid w:val="00F85513"/>
    <w:rsid w:val="00F868B0"/>
    <w:rsid w:val="00F93F13"/>
    <w:rsid w:val="00FB6A49"/>
    <w:rsid w:val="00FC5209"/>
    <w:rsid w:val="00FC7711"/>
    <w:rsid w:val="00FE4278"/>
    <w:rsid w:val="00FE48DD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8F0156E"/>
  <w15:chartTrackingRefBased/>
  <w15:docId w15:val="{994C4177-075D-46F6-BA82-B98F0FA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6CCE"/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qFormat/>
    <w:rsid w:val="009F28F4"/>
    <w:pPr>
      <w:keepNext/>
      <w:tabs>
        <w:tab w:val="left" w:pos="0"/>
        <w:tab w:val="right" w:pos="1873"/>
      </w:tabs>
      <w:spacing w:line="480" w:lineRule="auto"/>
      <w:jc w:val="center"/>
      <w:outlineLvl w:val="1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C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6CCE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6C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6CCE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1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PROMOTION SUB-COMMITTEE</vt:lpstr>
    </vt:vector>
  </TitlesOfParts>
  <Company>UIC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PROMOTION SUB-COMMITTEE</dc:title>
  <dc:subject/>
  <dc:creator>UICUHS</dc:creator>
  <cp:keywords/>
  <cp:lastModifiedBy>Beans, Jessica J</cp:lastModifiedBy>
  <cp:revision>2</cp:revision>
  <cp:lastPrinted>2007-08-14T15:00:00Z</cp:lastPrinted>
  <dcterms:created xsi:type="dcterms:W3CDTF">2020-02-06T21:52:00Z</dcterms:created>
  <dcterms:modified xsi:type="dcterms:W3CDTF">2020-02-06T21:52:00Z</dcterms:modified>
</cp:coreProperties>
</file>